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1-11.00/09.08.2022</w:t>
      </w: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рассмотрения заявок на участие в аукционе</w:t>
      </w:r>
    </w:p>
    <w:p>
      <w:pPr>
        <w:ind w:firstLine="709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Белгород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  11 часов 00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8 августа 2022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«9» августа 2022 г. в 11:00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Аукционная комиссия Белгородского района по проведению аукциона </w:t>
      </w:r>
      <w:r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rPr>
          <w:sz w:val="27"/>
          <w:szCs w:val="27"/>
        </w:rPr>
        <w:br/>
        <w:t>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О.А. Голощапова – заместитель начальника управления земельных </w:t>
      </w:r>
      <w:r>
        <w:rPr>
          <w:sz w:val="27"/>
          <w:szCs w:val="27"/>
        </w:rPr>
        <w:br/>
        <w:t>отношений – начальник отдела земельных ресурсов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Заместитель председателя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 xml:space="preserve">А.С. Костоглодов – первый </w:t>
      </w:r>
      <w:r>
        <w:rPr>
          <w:sz w:val="27"/>
          <w:szCs w:val="27"/>
          <w:lang w:val="x-none"/>
        </w:rPr>
        <w:t>заместитель руководителя комитета</w:t>
      </w:r>
      <w:r>
        <w:rPr>
          <w:sz w:val="27"/>
          <w:szCs w:val="27"/>
        </w:rPr>
        <w:t xml:space="preserve"> – </w:t>
      </w:r>
      <w:r>
        <w:rPr>
          <w:sz w:val="27"/>
          <w:szCs w:val="27"/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rPr>
          <w:sz w:val="27"/>
          <w:szCs w:val="27"/>
        </w:rPr>
        <w:t xml:space="preserve"> – </w:t>
      </w:r>
      <w:r>
        <w:rPr>
          <w:sz w:val="27"/>
          <w:szCs w:val="27"/>
          <w:lang w:val="x-none"/>
        </w:rPr>
        <w:t>главный архитектор района</w:t>
      </w:r>
      <w:r>
        <w:rPr>
          <w:sz w:val="27"/>
          <w:szCs w:val="27"/>
        </w:rPr>
        <w:t>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</w:t>
      </w:r>
      <w:r>
        <w:rPr>
          <w:sz w:val="27"/>
          <w:szCs w:val="27"/>
        </w:rPr>
        <w:t>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6 июля 2022 г., а также размещенному </w:t>
      </w:r>
      <w:r>
        <w:rPr>
          <w:sz w:val="27"/>
          <w:szCs w:val="27"/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sz w:val="27"/>
          <w:szCs w:val="27"/>
          <w:lang w:eastAsia="ru-RU"/>
        </w:rPr>
        <w:br/>
        <w:t>и назначенного на 9 августа 2022 г.</w:t>
      </w:r>
    </w:p>
    <w:p>
      <w:pPr>
        <w:ind w:left="142" w:firstLine="567"/>
        <w:jc w:val="both"/>
        <w:rPr>
          <w:sz w:val="27"/>
          <w:szCs w:val="27"/>
        </w:rPr>
      </w:pPr>
    </w:p>
    <w:p>
      <w:pPr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РАССМОТРЕЛА:</w:t>
      </w:r>
    </w:p>
    <w:p>
      <w:pPr>
        <w:pStyle w:val="a8"/>
        <w:numPr>
          <w:ilvl w:val="0"/>
          <w:numId w:val="28"/>
        </w:numPr>
        <w:tabs>
          <w:tab w:val="left" w:pos="0"/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1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 xml:space="preserve">(аппарат для продажи </w:t>
      </w:r>
      <w:r>
        <w:rPr>
          <w:bCs/>
          <w:sz w:val="27"/>
          <w:szCs w:val="27"/>
        </w:rPr>
        <w:lastRenderedPageBreak/>
        <w:t>воды с ассортиментной специализацией – питьевая вода)</w:t>
      </w:r>
      <w:r>
        <w:rPr>
          <w:sz w:val="27"/>
          <w:szCs w:val="27"/>
        </w:rPr>
        <w:t xml:space="preserve">, общей площадью территории 4 кв. м, адресные ориентиры: ул. Богатырская, мкр. Дубовская Застава Дубовского сельского поселения. </w:t>
      </w:r>
    </w:p>
    <w:p>
      <w:pPr>
        <w:tabs>
          <w:tab w:val="left" w:pos="0"/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Начальная цена продажи лота – 7 355 руб. (семь тысяч триста пятьдесят пять рублей).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80% от начальной стоимости продажи лота.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1 – Брижаченко Екатерина Александровна, заявка от 26 июля 2022 г. </w:t>
      </w:r>
      <w:r>
        <w:rPr>
          <w:sz w:val="27"/>
          <w:szCs w:val="27"/>
        </w:rPr>
        <w:br/>
        <w:t>№ 113.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2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>(аппарат для продажи воды с ассортиментной специализацией – питьевая вода)</w:t>
      </w:r>
      <w:r>
        <w:rPr>
          <w:sz w:val="27"/>
          <w:szCs w:val="27"/>
        </w:rPr>
        <w:t xml:space="preserve">, общей площадью территории 4 кв. м, адресные ориентиры: ул. Бельгина, в районе д. № 8, </w:t>
      </w:r>
      <w:r>
        <w:rPr>
          <w:sz w:val="27"/>
          <w:szCs w:val="27"/>
        </w:rPr>
        <w:br/>
        <w:t xml:space="preserve">п. Разумное городского поселения «Поселок Разумное». </w:t>
      </w:r>
    </w:p>
    <w:p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Начальная цена продажи лота – 7 355 руб. (семь тысяч триста пятьдесят пять рублей).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80% от начальной стоимости продажи лота.</w:t>
      </w:r>
    </w:p>
    <w:p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1 – Брижаченко Екатерина Александровна, заявка от 26 июля 2022 г. </w:t>
      </w:r>
      <w:r>
        <w:rPr>
          <w:sz w:val="27"/>
          <w:szCs w:val="27"/>
        </w:rPr>
        <w:br/>
        <w:t>№ 114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3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>(аппарат для продажи воды с ассортиментной специализацией – питьевая вода)</w:t>
      </w:r>
      <w:r>
        <w:rPr>
          <w:sz w:val="27"/>
          <w:szCs w:val="27"/>
        </w:rPr>
        <w:t xml:space="preserve">, общей площадью территории 4 кв. м, адресные ориентиры: ул. Восточная, в районе д. № 1, </w:t>
      </w:r>
      <w:r>
        <w:rPr>
          <w:sz w:val="27"/>
          <w:szCs w:val="27"/>
        </w:rPr>
        <w:br/>
        <w:t xml:space="preserve">п. Разумное городского поселения «Поселок Разумное». </w:t>
      </w:r>
    </w:p>
    <w:p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Начальная цена продажи лота – 7 355 руб. (семь тысяч триста пятьдесят пять рублей).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физического лица, претендентом оплачен задаток в размере 80% от начальной стоимости продажи лота.</w:t>
      </w:r>
    </w:p>
    <w:p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1 – Брижаченко Екатерина Александровна, заявка от 26 июля 2022 г. </w:t>
      </w:r>
      <w:r>
        <w:rPr>
          <w:sz w:val="27"/>
          <w:szCs w:val="27"/>
        </w:rPr>
        <w:br/>
        <w:t>№ 115.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предоставленные претендентом для участия в аукционе </w:t>
      </w:r>
      <w:r>
        <w:rPr>
          <w:sz w:val="27"/>
          <w:szCs w:val="27"/>
        </w:rPr>
        <w:br/>
        <w:t>по продаже права на заключение договора на размещение нестационарного торгового объекта (аппарат для продажи воды с ассортиментной специализацией – питьевая вода) на территории Белгородского района по Лотам № 1, 2, 3 требованиям законодательства соответствуют. Задатки от претендента поступили на лицевой счет администрации Белгородского района в установленные законом сроки</w:t>
      </w:r>
      <w:r>
        <w:rPr>
          <w:bCs/>
          <w:sz w:val="27"/>
          <w:szCs w:val="27"/>
        </w:rPr>
        <w:t>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>По Лотам № 1, 2, 3: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1.1. Допустить к участию в аукционе и признать участником аукциона претендента № 1 – Брижаченко Екатерину Александровну.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Брижаченко Екатерине Александровне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</w:t>
      </w:r>
      <w:r>
        <w:rPr>
          <w:sz w:val="27"/>
          <w:szCs w:val="27"/>
        </w:rPr>
        <w:br/>
        <w:t xml:space="preserve">не менее десяти рабочих дней со дня подписания протокола рассмотрения заявок </w:t>
      </w:r>
      <w:r>
        <w:rPr>
          <w:sz w:val="27"/>
          <w:szCs w:val="27"/>
        </w:rPr>
        <w:br/>
        <w:t>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Комиссии</w:t>
            </w:r>
          </w:p>
          <w:p>
            <w:pPr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Секретарь Комиссии</w:t>
            </w:r>
          </w:p>
          <w:p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 xml:space="preserve">    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О.А. Голощапова</w:t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Т.В. Харченко</w:t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Ю.Н. Юдина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Е.А. Дмитренко</w:t>
            </w:r>
          </w:p>
          <w:p>
            <w:pPr>
              <w:ind w:right="-143" w:firstLine="709"/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425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374881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74862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15"/>
  </w:num>
  <w:num w:numId="15">
    <w:abstractNumId w:val="2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6"/>
  </w:num>
  <w:num w:numId="27">
    <w:abstractNumId w:val="2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C92-1051-45CD-B055-C1111FC9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2</cp:revision>
  <cp:lastPrinted>2022-06-23T13:23:00Z</cp:lastPrinted>
  <dcterms:created xsi:type="dcterms:W3CDTF">2022-08-08T09:38:00Z</dcterms:created>
  <dcterms:modified xsi:type="dcterms:W3CDTF">2022-08-08T09:38:00Z</dcterms:modified>
</cp:coreProperties>
</file>