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  <w:pBdr>
          <w:top w:val="non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эксплуатации объекта электросетевого хозяйства: </w:t>
      </w:r>
      <w:r>
        <w:rPr>
          <w:rFonts w:ascii="Times New Roman" w:hAnsi="Times New Roman" w:eastAsia="Arial" w:cs="Times New Roman"/>
          <w:color w:val="000000"/>
          <w:sz w:val="24"/>
          <w:highlight w:val="white"/>
        </w:rPr>
        <w:t xml:space="preserve">Сооружение-двухцепная воздушная линия электропередачи 110 кВ "Фрунзенская-Западная"- заход от опоры № 59а воздушной линии электропередачи 110 кВ "Южная-Западная" до подстанции 330/110 кВ "Фрунзенская", Белгород - Белгородский район</w:t>
      </w:r>
      <w:r>
        <w:rPr>
          <w:sz w:val="24"/>
          <w:szCs w:val="24"/>
        </w:rPr>
        <w:br/>
        <w:t xml:space="preserve">с кадастровым номером </w:t>
      </w:r>
      <w:r>
        <w:rPr>
          <w:sz w:val="24"/>
          <w:szCs w:val="24"/>
        </w:rPr>
        <w:t xml:space="preserve">31:16:0101001:1878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</w:rPr>
      </w:r>
      <w:r/>
    </w:p>
    <w:tbl>
      <w:tblPr>
        <w:tblStyle w:val="675"/>
        <w:tblW w:w="10171" w:type="dxa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171"/>
      </w:tblGrid>
      <w:tr>
        <w:trPr>
          <w:trHeight w:val="172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top"/>
            <w:textDirection w:val="lrTb"/>
            <w:noWrap/>
          </w:tcPr>
          <w:p>
            <w:pPr>
              <w:ind w:left="0" w:right="34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31:15:0510001, 31:15:0516001, 31:15:0601006, 31:15:0610002, 31:15:0610003, 31:15:0611001, 31:15:0611002, 31:15:0612003, 31:15:0616001, 31:15:0616002, 31:15:0616003, 31:15:061600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4, 31:15:1503004, 31:16:0118012, 31:16:0118013, 31:16:0119001, 31:16:0119004, 31:16:0119023, 31:16:0119025, 31:16:0119027, 31:16:0119028, 31:16:0119029, 31:16:0119030, 31:16:0119034, 31:16:0119035, 31:16:0119036, 31:16:0119037, 31:16:0119038, 31:16:0121017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31:16:0000000:237,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31:16:0000000:1469,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31:16:0000000:1471,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31:16:0000000:3701, Белгородская обл., г. Белгород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31:16:0000000:5804, Белгородская обл., г. Белгород, ст "Кооператор", участок № 467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31:16:0000000:5919,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31:16:0000000:6000,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31:16:0000000:6027,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31:16:0000000:6029,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31:16:0118012:131,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31:16:0118012:136,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31:16:0118012:138,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31:16:0118012:139,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31:16:0118012:140,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31:16:0118012:73,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31:16:0118012:74,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31:16:0118012:75,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31:16:0118013:129,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31:16:0118013:130,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31:16:0118013:131,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31:16:0118013:132,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31:16:0118013:133,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31:16:0118013:155, Белгородская обл., г. Белгород, Юго-Западный район города, участок №1381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31:16:0118013:215,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31:16:0118013:266, Белгородская обл., г. Белгород, ул. Южная, 30б/1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31:16:0118013:679,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31:16:0119001:2,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31:16:0119001:9, Белгородская обл., г. Белгород, ул. Василия Трутовского, участок 2а/1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31:16:0119004:1, Белгородская обл., г. Белгород, Юго-Западный район города (участок № 3)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31:16:0119025:154,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31:16:0119027:252, Белгородская обл., г. Белгород, Юго-Западный район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31:16:0119028:115,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31:16:0119029:156, Белгородская обл., г. Белгород, ул. Виталия Буханова, 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31:16:0119029:411,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31:16:0119029:412,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31:16:0119029:413,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31:16:0119029:414,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31:16:0119029:415,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31:16:0119029:446,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31:16:0119029:623,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31:16:0119029:626, Белгородская обл., г. Белгород, Юго-Западный район города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31:16:0119030:27, Белгородская обл., г. Белгород, ул. Виталия Буханова, 3а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31:16:0119030:28, Белгородская обл., г. Белгород, ул. Виталия Буханова, з/у 1а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31:16:0119035:10, Белгородская обл., г. Белгород, садоводческое общество "Сухой Лог" тов."Серп и Молот",участок №389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31:16:0119035:100, Белгородская обл., г. Белгород, снт Серп и молот, Сухой Лог, № 359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31:16:0119035:101, Белгородская обл., г. Белгород, снт Серп и молот, Сухой Лог, № 360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31:16:0119035:122, Белгородская область, г Белгород, Сухой Лог, с/т "Серп и Молот", № 383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31:16:0119035:123, Белгородская обл., г. Белгород, снт Серп и молот, Сухой Лог, участок № 384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31:16:0119035:124, Белгородская обл., г. Белгород, снт Серп и молот, Сухой Лог, № 385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31:16:0119035:125, Белгородская обл., г. Белгород, снт Серп и молот, Сухой Лог, № 386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31:16:0119035:126, Белгородская обл., г. Белгород, Садоводческое общество "Сухой Лог" тов."Серп и Молот", участок № 387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31:16:0119035:127, Белгородская обл., г. Белгород, снт Серп и молот, Сухой Лог, уч. № 388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31:16:0119035:142, Белгородская область, г Белгород, снт Серп и молот, Сухой Лог, № 404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31:16:0119035:143, Белгородская обл., г. Белгород, снт Серп и молот, Сухой Лог, № 405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31:16:0119035:144, Белгородская обл., г. Белгород, снт Серп и молот, Сухой Лог, № 406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31:16:0119035:145, Белгородская обл., г. Белгород, снт Серп и молот, Сухой Лог, № 407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31:16:0119035:146, Белгородская обл., г. Белгород, Садоводческое общ. "Сухой Лог" тов."Серп и Молот", участок № 408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31:16:0119035:147, Белгородская обл., г. Белгород, снт Серп и молот, Сухой Лог, участок №409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31:16:0119035:148, Белгородская обл., г. Белгород, снт Серп и молот, Сухой Лог, № 410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31:16:0119035:52, Белгородская обл., г. Белгород, снт Серп и молот, Сухой Лог, участок № 308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31:16:0119035:60, Белгородская обл., г. Белгород, снт Серп и молот, Сухой Лог, № 317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31:16:0119035:61, Белгородская обл., г. Белгород, Сухой Лог, с/т "Серп и Молот", № 318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31:16:0119035:62, Белгородская обл., г. Белгород, садоводческое тов."Сухой Лог" (тов. "Серп и Молот"), участок № 319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31:16:0119035:64, Белгородская обл., г. Белгород, снт Серп и молот, Сухой Лог, № 321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31:16:0119035:65, Белгородская обл., г. Белгород, Садоводческое тов. "Сухой Лог" (тов. "Серп и Молот"), участок №322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31:16:0119035:66, Белгородская обл., г. Белгород, Сухой Лог, с/т "Серп и Молот", № 323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31:16:0119035:67, Белгородская обл., г. Белгород, снт Серп и молот, Сухой Лог, № 324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31:16:0119035:68, Белгородская обл., г. Белгород, снт Серп и молот, Сухой Лог, № 325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31:16:0119035:69, Белгородская обл., г. Белгород, снт Серп и молот, Сухой Лог, № 326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31:16:0119035:70, Белгородская обл., г. Белгород, садоводческое тов. "Сухой Лог" (тов. "Серп и Молот"), участок № 327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31:16:0119035:71, Белгородская обл., г. Белгород, Садоводческое тов. "Сухой Лог" (тов. "Серп и Молот"), участок № 328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31:16:0119035:95, Белгородская обл., г. Белгород, снт Серп и молот, Сухой Лог, № 354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31:16:0119035:96, Белгородская обл., г. Белгород, Сухой Лог, с/т "Серп и Молот", № 355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31:16:0119035:97, Белгородская обл., г. Белгород, Сухой Лог, с/т "Серп и Молот", № 356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31:16:0119035:98, Белгородская обл., г. Белгород, садоводческое товарищество "Сухой Лог" (товарищество "Серп и Молот"), участок № 357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31:16:0119035:99, Белгородская обл., г. Белгород, снт Серп и молот, Сухой Лог, № 358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31:16:0119036:1, Белгородская обл., г. Белгород, Сухой Лог, с/т "Киноремонтник", уч. № 426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31:16:0119036:11, Белгородская обл., г. Белгород, Садоводческое тов. Сухой Лог (тов. Киноремонтник), участок № 427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31:16:0119036:12, Белгородская обл., г. Белгород, Сухой Лог, с/т "Киноремонтник", уч. № 428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31:16:0119036:13, Белгородская обл., г. Белгород, Сухой Лог, с/т "Киноремонтник", уч. № 429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31:16:0119036:14, Белгородская обл., г. Белгород, Сухой Лог, с/т "Киноремонтник", уч. № 430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31:16:0119036:25, Белгородская обл., г. Белгород, Сухой Лог, с/т "Кооператор", уч. № 469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31:16:0119036:26, Белгородская обл., г. Белгород, Сухой Лог, с/т "Кооператор", уч. № 468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31:16:0119036:27, Белгородская обл., г. Белгород, Сухой Лог, с/т "Кооператор", уч. № 466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31:16:0119036:30, Белгородская обл., г. Белгород, Сухой Лог, с/т "Кооператор", уч. № 446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31:16:0119036:31, Белгородская обл., г. Белгород, Сухой Лог, с/т "Кооператор", уч. № 447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31:16:0119036:32, Белгородская обл., г. Белгород, Сухой Лог, с/т "Кооператор", уч. № 445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31:16:0119036:33, Белгородская область, г. Белгород, Сухой Лог, с/т "Кооператор", уч. № 444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31:16:0119036:37, Белгородская обл., г. Белгород, снт Малинка, Сухой Лог, участок №470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31:16:0119036:38, Белгородская обл., г. Белгород, Сухой Лог, снт Малинка, уч. № 471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31:16:0119036:52, Белгородская обл., г. Белгород, снт Малинка, Сухой Лог, уч. №448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31:16:0119036:53, Белгородская обл., г. Белгород, снт Малинка, Сухой Лог, уч. № 449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31:16:0119036:54, Белгородская обл., г. Белгород, снт Малинка, Сухой Лог, уч. № 450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31:16:0119036:55, Белгородская обл., г. Белгород, снт Малинка, Сухой Лог, уч. № 451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31:16:0119037:11, Белгородская обл., г Белгород, Сухой Лог, с/т "Коммунальщик", уч. № 487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31:16:0119037:13, Белгородская обл., г. Белгород, Сухой Лог, с/т "Коммунальщик", уч. № 491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31:16:0119037:2, Белгородская обл., г. Белгород, садоводческое товарищество "Коммунальщик", Сухой Лог земельный участок №489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31:16:0119037:3, Белгородская обл., г. Белгород, Сухой Лог, с/т "Ручеек", уч. № 513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31:16:0119037:33, Белгородская область, г Белгород, Сухой Лог, с/т "Ручеек", уч. № 509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31:16:0119037:34, Белгородская обл., г. Белгород, Сухой Лог, с/т "Ручеек", уч. № 510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31:16:0119037:35, Белгородская обл., г. Белгород, Сухой Лог, с/т "Ручеек", уч. № 511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31:16:0119037:36, Белгородская обл., г. Белгород, Сухой Лог, с/т "Ручеек", уч. № 512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31:16:0119037:37, Белгородская обл., г. Белгород, Сухой Лог, с/т "Ручеек", уч. № 514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31:16:0119037:38, Белгородская обл., г. Белгород, Сухой Лог, с/т "Ручеек", уч. № 515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31:16:0119037:46, Белгородская обл., г Белгород, Сухой Лог, с/т "Ручеек", уч. № 530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31:16:0119037:47, Белгородская обл., г. Белгород, Сухой Лог, с/т "Ручеек", уч. № 531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31:16:0119037:48, Белгородская обл., г. Белгород, Сухой Лог, с/т "Ручеек", уч. № 532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31:16:0119037:49, Белгородская обл., г. Белгород, Сухой Лог, с/т "Ручеек", уч. № 533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31:16:0119037:50, Белгородская обл., г. Белгород, Сухой Лог, с/т "Ручеек", уч. № 534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31:16:0119037:51, Белгородская обл., г. Белгород, Сухой Лог, с/т "Ручеек", уч. № 535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31:16:0119037:52, Белгородская обл., г. Белгород, Сухой Лог, с/т "Ручеек", уч. № 536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31:16:0119037:53, Белгородская обл., г. Белгород, Сухой Лог, с/т "Ручеек", уч. № 537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31:16:0119037:6, Белгородская обл., г. Белгород, садоводческое товарищество "Коммунальщик" Сухой Лог, участок № 490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31:16:0119037:7, Белгородская обл., г. Белгород, Сухой Лог, с/т "Коммунальщик", уч. № 492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31:16:0119038:19, Белгородская обл., г. Белгород, Сухой Лог, с/т "Родничок-84", уч. № 554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31:16:0119038:20, Белгородская обл., г. Белгород, снт Родничок-84, Сухой Лог, уч. № 553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31:16:0119038:21, Белгородская обл., г. Белгород, снт Родничок-84, Сухой Лог, уч. № 552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31:16:0119038:22, Белгородская обл., г. Белгород, снт Родничок-84, Сухой Лог, уч. № 551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31:16:0121017:31, Белгородская обл., г. Белгород, Спутник - ул. Сумская - ул. Чичерина - Ротонда (пр-т Б. Хмельницкого)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vMerge w:val="restart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NewRomanPSMT" w:cs="Times New Roman"/>
              </w:rPr>
              <w:t xml:space="preserve">31:15:0000000:38 (обособленный земельный участок 31:15:0611002:86),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Белгородская обл., р-н Белгородский, воздушная линия электропередачи 35 кВ "Стрелецкое-Красное", от подстанции 110/35/10 кВ "Стрелецкое" до подстанции 35/10 кВ "Красное"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31:15:0000000:1109, Белгородская обл., р-н Белгородский, на земельном участке расположена ВЛ-10кВ №2 ПС Бессоновка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31:15:0000000:1205, Белгородская обл., р-н Белгородский, с. Пушкарное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31:15:0000000:140, Белгородская обл., р-н Белгородский, автодорога Белгород-Грайворон-гр. Украины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31:15:0000000:1553,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31:15:0000000:1555,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31:15:0000000:2054, 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31:15:0000000:2305, Белгородская обл., р-н Белгородский, в границах Пушкарского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31:15:0000000:321, Белгородская обл., р-н Белгородский, колхоз им.Фрунзе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31:15:0000000:3565, Белгородская обл., р-н Белгородский, воздушная линия электропередачи 35 кВ "Стрелецкое-Красное", от постанции 110/35/10 кВ "Стрелецкое" до подстанции 35/10 кВ "Красное"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31:15:0000000:3707, Белгородская обл., в границах р-н Белгородский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31:15:0000000:554, Белгородская обл., р-н Белгородский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31:15:0000000:567, Белгородская обл., р-н Белгородский, ПКАО "Красная Нива", вблизи с. Пушкарное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31:15:0000000:568, Белгородская обл., р-н Белгородский, ПКАО "Красная Нива", северо-западнее с. Пушкарное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31:15:0000000:579,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31:15:0000000:582, Белгородская область,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31:15:0510001:3, Белгородская обл., р-н Белгородский, автомобильная магистраль М-2 "Крым" от Москвы, через Тулу, Орел, Курск, Белгород до границы с Украиной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31:15:0516001:200,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31:15:0516001:201,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31:15:0516001:65,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31:15:0516001:71,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31:15:0516001:72,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31:15:0516001:73,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31:15:0516001:75, Белгородская обл., Белгородский р-н, с. Стрелецкое, СПК "Новая Жизнь"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31:15:0516001:77, Белгородская обл., Белгородский р-н, с. Стрелецкое, СПК "Новая Жизнь"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31:15:0516001:79,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31:15:0516001:81, Белгородская обл., Белгородский р-н, с. Стрелецкое, СПК "Новая Жизнь"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31:15:0516001:83, Белгородская обл., Белгородский р-н, с. Стрелецкое, СПК "Новая Жизнь"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31:15:0516001:84,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31:15:0516001:87, Белгородская обл., р-н Белгородский, СПК "Новая Жизнь", с. Стрелецкое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31:15:0516001:9, Белгородская обл., р-н Белгородский, с. Стрелецкое, в границах АО "Новая жизнь"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31:15:0601006:16,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31:15:0601006:20, Белгородская обл., р-н Белгородский, тер.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31:15:0601006:414, Белгородская обл., р-н Белгородский, с. Драгунское, МКР "Хапиловский"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31:15:0601006:425, 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31:15:0610002:184, 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31:15:0610002:28,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31:15:0610002:29,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31:15:0610002:30,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31:15:0610002:36,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31:15:0610002:73, Белгородская обл., р-н Белгородский, в границах Пушкарского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31:15:0610003:38,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31:15:0610003:67, 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31:15:0611002:96, Белгородская обл., р-н Белгородский, в границах с. Пушкарное, опора №39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31:15:0611002:97, Белгородская обл., р-н Белгородский, в границах с. Пушкарное, опора №40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8f8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31:15:0616002:25,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31:15:0616002:26,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31:15:0616002:27,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31:15:0616002:28,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31:15:0616002:29,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31:15:0616002:30,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31:15:0616002:36, Белгородская обл., р-н Белгородский, АО "Красная Нива"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31:15:0616002:39,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31:15:0616002:40,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31:15:0616002:41,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31:15:0616002:46,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31:15:0616002:53,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31:15:0616002:56, 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31:15:0616003:11,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31:15:0616003:12,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31:15:0616003:13,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31:15:0616003:14,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31:15:0616003:15,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Align w:val="bottom"/>
            <w:vMerge w:val="restart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color w:val="000000"/>
              </w:rPr>
              <w:t xml:space="preserve">31:15:0616003:1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both"/>
        <w:rPr>
          <w:sz w:val="24"/>
          <w:szCs w:val="24"/>
        </w:rPr>
        <w:pBdr>
          <w:top w:val="none" w:color="000000" w:sz="4" w:space="0"/>
        </w:pBdr>
      </w:pP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тридцати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 </w:t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 на которых размещается сообщение о поступившем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</w:r>
      <w:hyperlink r:id="rId11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2" w:tooltip="https://adm-alekseevka.gosuslugi.ru/" w:history="1">
        <w:r>
          <w:rPr>
            <w:rStyle w:val="863"/>
            <w:sz w:val="24"/>
            <w:szCs w:val="24"/>
            <w:highlight w:val="none"/>
          </w:rPr>
        </w:r>
        <w:r>
          <w:rPr>
            <w:rStyle w:val="863"/>
            <w:sz w:val="24"/>
            <w:szCs w:val="24"/>
            <w:highlight w:val="none"/>
          </w:rPr>
          <w:t xml:space="preserve">https://beladm.gosuslugi.ru/</w:t>
        </w:r>
        <w:r>
          <w:rPr>
            <w:rStyle w:val="863"/>
            <w:sz w:val="24"/>
            <w:szCs w:val="24"/>
            <w:highlight w:val="none"/>
          </w:rPr>
        </w:r>
        <w:r>
          <w:rPr>
            <w:rStyle w:val="863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/>
      <w:hyperlink r:id="rId13" w:tooltip="http://gazeta-zarya31.ruhttps://gazetanb.ru/" w:history="1">
        <w:r>
          <w:rPr>
            <w:rStyle w:val="863"/>
          </w:rPr>
          <w:t xml:space="preserve">http://</w:t>
        </w:r>
        <w:r>
          <w:rPr>
            <w:rStyle w:val="863"/>
            <w:sz w:val="24"/>
            <w:szCs w:val="24"/>
            <w:highlight w:val="none"/>
          </w:rPr>
          <w:t xml:space="preserve">gazeta-zarya31.ru</w:t>
        </w:r>
        <w:r>
          <w:rPr>
            <w:rStyle w:val="863"/>
            <w:sz w:val="24"/>
            <w:szCs w:val="24"/>
            <w:highlight w:val="none"/>
          </w:rPr>
        </w:r>
        <w:r>
          <w:rPr>
            <w:rStyle w:val="863"/>
            <w:sz w:val="24"/>
            <w:szCs w:val="24"/>
            <w:highlight w:val="none"/>
          </w:rPr>
          <w:t xml:space="preserve">https://gazetanb.ru/</w:t>
        </w:r>
        <w:r>
          <w:rPr>
            <w:rStyle w:val="863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znamya31.ru/" w:history="1">
        <w:r>
          <w:rPr>
            <w:rStyle w:val="863"/>
            <w:sz w:val="24"/>
            <w:szCs w:val="24"/>
            <w:highlight w:val="none"/>
          </w:rPr>
          <w:t xml:space="preserve">https://znamya31.ru/</w:t>
        </w:r>
        <w:r>
          <w:rPr>
            <w:rStyle w:val="863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https://belgorodskij-r31.gosweb.gosuslugi.ru/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Постановлением Правительства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</w:rPr>
      </w:r>
      <w:r/>
    </w:p>
    <w:tbl>
      <w:tblPr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714"/>
      </w:tblGrid>
      <w:tr>
        <w:trPr>
          <w:trHeight w:val="416"/>
        </w:trPr>
        <w:tc>
          <w:tcPr>
            <w:gridSpan w:val="3"/>
            <w:tcW w:w="10474" w:type="dxa"/>
            <w:textDirection w:val="lrTb"/>
            <w:noWrap w:val="false"/>
          </w:tcPr>
          <w:p>
            <w:pPr>
              <w:pStyle w:val="880"/>
              <w:ind w:left="4254" w:right="4214"/>
              <w:spacing w:before="72" w:line="240" w:lineRule="auto"/>
              <w:rPr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объекте</w:t>
            </w:r>
            <w:r>
              <w:rPr>
                <w:sz w:val="22"/>
              </w:rPr>
            </w:r>
            <w:r/>
          </w:p>
        </w:tc>
      </w:tr>
      <w:tr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880"/>
              <w:ind w:left="234" w:right="197" w:firstLine="48"/>
              <w:jc w:val="left"/>
              <w:spacing w:before="111" w:line="268" w:lineRule="auto"/>
              <w:rPr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0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0"/>
              <w:ind w:left="1171" w:right="1147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880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0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0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880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0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Местоположение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0"/>
              <w:ind w:left="133" w:right="1173"/>
              <w:jc w:val="left"/>
              <w:spacing w:before="5" w:line="268" w:lineRule="auto"/>
              <w:rPr>
                <w:szCs w:val="22"/>
              </w:rPr>
            </w:pPr>
            <w:r>
              <w:rPr>
                <w:sz w:val="22"/>
              </w:rPr>
              <w:t xml:space="preserve">Белгородская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район</w:t>
            </w:r>
            <w:r>
              <w:rPr>
                <w:sz w:val="22"/>
              </w:rPr>
            </w:r>
            <w:r/>
          </w:p>
        </w:tc>
      </w:tr>
      <w:tr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880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0"/>
              <w:ind w:left="134" w:right="799"/>
              <w:jc w:val="left"/>
              <w:spacing w:before="5" w:line="273" w:lineRule="auto"/>
              <w:rPr>
                <w:szCs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</w:t>
            </w:r>
            <w:r>
              <w:rPr>
                <w:b/>
                <w:sz w:val="22"/>
              </w:rPr>
              <w:t xml:space="preserve">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 ∆P</w:t>
            </w:r>
            <w:r>
              <w:rPr>
                <w:sz w:val="22"/>
              </w:rPr>
              <w:t xml:space="preserve">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кв.м.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0"/>
              <w:ind w:left="1165" w:right="1147"/>
              <w:spacing w:before="188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939994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339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5360"/>
        </w:trPr>
        <w:tc>
          <w:tcPr>
            <w:tcW w:w="768" w:type="dxa"/>
            <w:textDirection w:val="lrTb"/>
            <w:noWrap w:val="false"/>
          </w:tcPr>
          <w:p>
            <w:pPr>
              <w:pStyle w:val="880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0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0"/>
              <w:ind w:left="133" w:right="180"/>
              <w:jc w:val="left"/>
              <w:spacing w:before="5" w:line="268" w:lineRule="auto"/>
            </w:pPr>
            <w:r>
              <w:rPr>
                <w:sz w:val="22"/>
              </w:rPr>
              <w:t xml:space="preserve">Ограничения на использование объекта: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 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срок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49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лет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интересах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</w:t>
            </w:r>
            <w:r>
              <w:rPr>
                <w:sz w:val="22"/>
              </w:rPr>
            </w:r>
            <w:r/>
          </w:p>
          <w:p>
            <w:pPr>
              <w:pStyle w:val="880"/>
              <w:ind w:left="133" w:right="130"/>
              <w:jc w:val="left"/>
              <w:spacing w:line="268" w:lineRule="auto"/>
            </w:pPr>
            <w:r>
              <w:rPr>
                <w:sz w:val="22"/>
              </w:rPr>
              <w:t xml:space="preserve">«Россети Центр» в целях размещения объекта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электросетевого хозяйства: Сооружение-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двухцепная воздушная линия электропередачи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110 кВ "Фрунзенская-Западная"- заход 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59а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воздушной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линии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электропередачи 110 кВ "Южная-Западная" до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подстанции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330/110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"Фрунзенская",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- Белгородский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район.</w:t>
            </w:r>
            <w:r>
              <w:rPr>
                <w:sz w:val="22"/>
              </w:rPr>
            </w:r>
            <w:r/>
          </w:p>
          <w:p>
            <w:pPr>
              <w:pStyle w:val="880"/>
              <w:ind w:left="133" w:right="214"/>
              <w:jc w:val="left"/>
              <w:spacing w:line="268" w:lineRule="auto"/>
            </w:pPr>
            <w:r>
              <w:rPr>
                <w:sz w:val="22"/>
              </w:rPr>
              <w:t xml:space="preserve">Обладатель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сервитута: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акционерное общество «Россети Центр»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(филиал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ПАО «Россети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/>
          </w:p>
          <w:p>
            <w:pPr>
              <w:pStyle w:val="880"/>
              <w:ind w:left="133"/>
              <w:jc w:val="left"/>
              <w:spacing w:line="253" w:lineRule="exact"/>
            </w:pPr>
            <w:r>
              <w:rPr>
                <w:sz w:val="22"/>
              </w:rPr>
              <w:t xml:space="preserve">«Белгородэнерго»).</w:t>
            </w:r>
            <w:r>
              <w:rPr>
                <w:sz w:val="22"/>
              </w:rPr>
            </w:r>
            <w:r/>
          </w:p>
          <w:p>
            <w:pPr>
              <w:pStyle w:val="880"/>
              <w:ind w:left="133" w:right="577"/>
              <w:jc w:val="left"/>
              <w:spacing w:before="29" w:line="268" w:lineRule="auto"/>
              <w:rPr>
                <w:szCs w:val="22"/>
              </w:rPr>
            </w:pPr>
            <w:r>
              <w:rPr>
                <w:sz w:val="22"/>
              </w:rPr>
              <w:t xml:space="preserve">Адрес: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308009,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ул.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Преображенская, д. 42; электронная почта</w:t>
            </w:r>
            <w:r>
              <w:rPr>
                <w:spacing w:val="-53"/>
                <w:sz w:val="22"/>
              </w:rPr>
              <w:t xml:space="preserve"> </w:t>
            </w:r>
            <w:hyperlink r:id="rId15" w:tooltip="mailto:belgorodenergo@mrsk-1.ru" w:history="1">
              <w:r>
                <w:rPr>
                  <w:sz w:val="22"/>
                </w:rPr>
                <w:t xml:space="preserve">belgorodenergo@mrsk-1.ru</w:t>
              </w:r>
            </w:hyperlink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68" w:lineRule="auto"/>
        <w:sectPr>
          <w:footnotePr/>
          <w:endnotePr/>
          <w:type w:val="continuous"/>
          <w:pgSz w:w="11900" w:h="16840" w:orient="portrait"/>
          <w:pgMar w:top="132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114"/>
              <w:jc w:val="left"/>
              <w:spacing w:line="239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  <w:rPr>
                <w:szCs w:val="22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  <w:t xml:space="preserve">МСК</w:t>
            </w:r>
            <w:r>
              <w:rPr>
                <w:spacing w:val="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31</w:t>
            </w:r>
            <w:r>
              <w:rPr>
                <w:spacing w:val="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зона</w:t>
            </w:r>
            <w:r>
              <w:rPr>
                <w:spacing w:val="5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1</w:t>
              <w:tab/>
            </w:r>
            <w:r>
              <w:rPr>
                <w:sz w:val="22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114"/>
              <w:jc w:val="left"/>
              <w:spacing w:before="33" w:line="240" w:lineRule="auto"/>
              <w:rPr>
                <w:szCs w:val="20"/>
              </w:rPr>
            </w:pPr>
            <w:r>
              <w:rPr>
                <w:sz w:val="20"/>
              </w:rPr>
              <w:t xml:space="preserve"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0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 w:line="240" w:lineRule="auto"/>
            </w:pPr>
            <w:r>
              <w:rPr>
                <w:sz w:val="19"/>
              </w:rPr>
            </w:r>
            <w:r>
              <w:rPr>
                <w:sz w:val="19"/>
              </w:rPr>
            </w:r>
            <w:r/>
          </w:p>
          <w:p>
            <w:pPr>
              <w:pStyle w:val="880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0"/>
              <w:ind w:left="30" w:right="7"/>
              <w:spacing w:before="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4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33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401528.36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1316227.71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401424.26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1316304.24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401309.94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1316238.48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401198.80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1316174.38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401044.39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1316085.49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400865.43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1315982.48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400728.76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1315971.73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400615.64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1316182.60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400342.05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1316158.96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400261.12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1316151.85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399965.75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1315941.64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399847.50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1315906.84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399385.81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1315769.61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399272.65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1315736.20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399054.05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1315653.62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398584.70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1315448.61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398636.31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1315301.96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398892.65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1314579.40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398928.89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1314477.37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398774.11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1314376.24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398671.35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1314307.64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398382.65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1314114.90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398283.23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1314048.52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398192.95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1314082.68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397952.85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1314118.51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397720.79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1314011.19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397647.51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1314054.20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396728.82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1314593.54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396645.07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1314642.73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396415.32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1314777.59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396212.73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1314852.17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396106.34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1314891.04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396009.59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1314946.41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395470.63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1315254.75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395388.48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1315301.74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395285.31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1315312.46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394876.54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1315354.97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394778.26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1315365.17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394671.67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1315387.57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393950.33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1315539.53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393828.51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1315565.82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393779.90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1315747.27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393809.61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1315863.21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393944.26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1316385.25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393998.38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1316595.06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394320.30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1317841.92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394348.72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1317942.17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394410.97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1317989.01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394483.12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1318043.40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394566.60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1318106.23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394680.96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1318275.75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394700.88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1318375.59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394719.78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1318494.22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394738.98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1318625.15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394703.72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1318723.27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394518.01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1319277.93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394284.74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1319972.84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394250.85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1320073.73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394172.18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1320155.77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393708.19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1320626.73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393636.72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1320713.69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393353.70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1321007.86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393214.54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1321153.13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393175.24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1321237.09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392960.85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1321699.27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392626.67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1322417.95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392577.52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1322524.83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392560.04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1322627.72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392506.11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1322941.85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392489.17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1323041.28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392522.85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1323104.71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392705.73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1323449.00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392742.10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1323512.77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392876.26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1323479.67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393079.01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1323760.15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393512.35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1324049.49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nextPage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46"/>
              <w:jc w:val="lef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393521.99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1324055.92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393414.77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1324281.93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393328.09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1324363.54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393349.47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1324513.65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393303.94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1324520.13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393279.18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1324346.41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393376.93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1324254.38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393463.39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1324072.12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393046.58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1323793.81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392857.16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1323531.77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392719.38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1323565.77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392665.43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1323471.19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392482.23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1323126.30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392441.18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1323049.01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392460.76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1322934.09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392514.69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1322619.97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392533.20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1322511.13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392584.92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1322398.64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392919.13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1321679.89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393133.54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1321217.66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393176.08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1321126.76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393320.51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1320976.01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393602.32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1320683.10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393673.97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1320595.92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394139.19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1320123.72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394210.52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1320049.32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394241.14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1319958.20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394474.39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1319263.31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394660.26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1318708.19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394691.79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1318620.43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394674.30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1318501.18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394655.59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1318383.71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394637.69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1318294.00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394532.80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1318138.36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394455.44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1318080.14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394383.29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1318025.75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394308.68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1317969.62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394275.90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1317853.94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393953.84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1316606.56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393899.82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1316396.71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393765.05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1315874.67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393732.35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1315747.01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393791.35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1315526.78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393940.74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1315494.54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394662.20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1315342.56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394771.13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1315319.66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394871.78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1315309.21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395280.56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1315266.71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395374.07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1315256.99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395447.79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1315214.82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395986.74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1314906.49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396086.88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1314849.17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396196.90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1314808.98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396395.58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1314735.84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396621.78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1314603.06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396705.53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1314553.87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397624.23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1314014.52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397718.26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1313959.33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397959.67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1314070.98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398181.29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1314037.92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398289.08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1313997.12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398408.20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1314076.64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398696.88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1314269.38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398799.46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1314337.85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398984.35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1314458.65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398935.99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1314594.79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398679.68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1315317.29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398642.28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1315423.56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399071.39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1315611.00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399287.31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1315692.56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399398.88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1315725.51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399860.55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1315862.73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399986.13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1315899.68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400277.60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1316107.12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400346.04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1316113.13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400589.43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1316134.16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400702.42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1315923.52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400879.38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1315937.44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401067.34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1316045.62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401221.76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1316134.53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401332.90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1316198.62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401421.18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1316249.41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401501.12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1316190.64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106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401528.36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1316227.71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continuous"/>
          <w:pgSz w:w="11900" w:h="16840" w:orient="portrait"/>
          <w:pgMar w:top="660" w:right="500" w:bottom="528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-6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87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0"/>
              <w:ind w:left="110"/>
              <w:jc w:val="left"/>
              <w:spacing w:before="28" w:line="240" w:lineRule="auto"/>
              <w:rPr>
                <w:szCs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0"/>
              <w:ind w:left="580" w:right="31" w:hanging="519"/>
              <w:jc w:val="left"/>
              <w:spacing w:before="1"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0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0"/>
              <w:ind w:left="30" w:right="7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4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94"/>
              <w:jc w:val="left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9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33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2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613"/>
              <w:jc w:val="left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3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28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26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36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637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before="0" w:line="240" w:lineRule="auto"/>
      </w:pPr>
      <w:r>
        <w:rPr>
          <w:sz w:val="20"/>
        </w:rPr>
      </w:r>
      <w:r>
        <w:rPr>
          <w:sz w:val="20"/>
        </w:rPr>
      </w:r>
      <w:r/>
    </w:p>
    <w:p>
      <w:pPr>
        <w:spacing w:before="7" w:after="1" w:line="240" w:lineRule="auto"/>
        <w:rPr>
          <w:sz w:val="20"/>
          <w:szCs w:val="20"/>
        </w:r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-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>
        <w:trPr>
          <w:trHeight w:val="229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0"/>
              <w:ind w:left="2087" w:right="2075"/>
              <w:spacing w:before="5" w:line="205" w:lineRule="exact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0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  <w:tab/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15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0"/>
              <w:ind w:left="110"/>
              <w:jc w:val="lef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7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0"/>
              <w:ind w:left="580" w:right="31" w:hanging="519"/>
              <w:jc w:val="left"/>
              <w:spacing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0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0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52" w:right="136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0"/>
              <w:ind w:left="28" w:right="9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  <w:tr>
        <w:trPr>
          <w:trHeight w:val="287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0"/>
              <w:ind w:left="11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3. 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части (частей)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0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0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0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84"/>
              <w:jc w:val="left"/>
              <w:spacing w:line="18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52" w:right="136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0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0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0"/>
              <w:ind w:left="28" w:right="9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0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0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0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0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0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Heading 1"/>
    <w:basedOn w:val="664"/>
    <w:next w:val="664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next w:val="6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Endnote Text Char"/>
    <w:uiPriority w:val="99"/>
    <w:rPr>
      <w:sz w:val="20"/>
    </w:rPr>
  </w:style>
  <w:style w:type="paragraph" w:styleId="678">
    <w:name w:val="endnote text"/>
    <w:basedOn w:val="664"/>
    <w:link w:val="679"/>
    <w:uiPriority w:val="99"/>
    <w:semiHidden/>
    <w:unhideWhenUsed/>
    <w:rPr>
      <w:sz w:val="20"/>
    </w:rPr>
  </w:style>
  <w:style w:type="character" w:styleId="679" w:customStyle="1">
    <w:name w:val="Текст концевой сноски Знак"/>
    <w:link w:val="678"/>
    <w:uiPriority w:val="99"/>
    <w:rPr>
      <w:sz w:val="20"/>
    </w:rPr>
  </w:style>
  <w:style w:type="character" w:styleId="680">
    <w:name w:val="endnote reference"/>
    <w:basedOn w:val="674"/>
    <w:uiPriority w:val="99"/>
    <w:semiHidden/>
    <w:unhideWhenUsed/>
    <w:rPr>
      <w:vertAlign w:val="superscript"/>
    </w:rPr>
  </w:style>
  <w:style w:type="paragraph" w:styleId="681">
    <w:name w:val="table of figures"/>
    <w:basedOn w:val="664"/>
    <w:next w:val="664"/>
    <w:uiPriority w:val="99"/>
    <w:unhideWhenUsed/>
  </w:style>
  <w:style w:type="character" w:styleId="682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4"/>
    <w:uiPriority w:val="10"/>
    <w:rPr>
      <w:sz w:val="48"/>
      <w:szCs w:val="48"/>
    </w:rPr>
  </w:style>
  <w:style w:type="character" w:styleId="692" w:customStyle="1">
    <w:name w:val="Subtitle Char"/>
    <w:basedOn w:val="674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64"/>
    <w:next w:val="664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basedOn w:val="674"/>
    <w:link w:val="705"/>
    <w:uiPriority w:val="10"/>
    <w:rPr>
      <w:sz w:val="48"/>
      <w:szCs w:val="48"/>
    </w:rPr>
  </w:style>
  <w:style w:type="paragraph" w:styleId="707">
    <w:name w:val="Subtitle"/>
    <w:basedOn w:val="664"/>
    <w:next w:val="664"/>
    <w:link w:val="708"/>
    <w:uiPriority w:val="11"/>
    <w:qFormat/>
    <w:pPr>
      <w:spacing w:before="200" w:after="200"/>
    </w:pPr>
  </w:style>
  <w:style w:type="character" w:styleId="708" w:customStyle="1">
    <w:name w:val="Подзаголовок Знак"/>
    <w:basedOn w:val="674"/>
    <w:link w:val="707"/>
    <w:uiPriority w:val="11"/>
    <w:rPr>
      <w:sz w:val="24"/>
      <w:szCs w:val="24"/>
    </w:rPr>
  </w:style>
  <w:style w:type="paragraph" w:styleId="709">
    <w:name w:val="Quote"/>
    <w:basedOn w:val="664"/>
    <w:next w:val="664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4"/>
    <w:next w:val="664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74"/>
    <w:uiPriority w:val="99"/>
  </w:style>
  <w:style w:type="character" w:styleId="714" w:customStyle="1">
    <w:name w:val="Footer Char"/>
    <w:basedOn w:val="674"/>
    <w:uiPriority w:val="99"/>
  </w:style>
  <w:style w:type="paragraph" w:styleId="71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 w:customStyle="1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ned - Accent"/>
    <w:basedOn w:val="675"/>
    <w:link w:val="8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2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23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24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25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26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27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28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9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0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1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32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33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34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5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64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4"/>
    <w:uiPriority w:val="99"/>
    <w:unhideWhenUsed/>
    <w:rPr>
      <w:vertAlign w:val="superscript"/>
    </w:rPr>
  </w:style>
  <w:style w:type="paragraph" w:styleId="845">
    <w:name w:val="toc 1"/>
    <w:basedOn w:val="664"/>
    <w:next w:val="664"/>
    <w:uiPriority w:val="39"/>
    <w:unhideWhenUsed/>
    <w:pPr>
      <w:spacing w:after="57"/>
    </w:pPr>
  </w:style>
  <w:style w:type="paragraph" w:styleId="846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47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48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49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0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1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2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3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table" w:styleId="855">
    <w:name w:val="Table Grid"/>
    <w:basedOn w:val="67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uiPriority w:val="1"/>
    <w:qFormat/>
    <w:pPr>
      <w:spacing w:after="0" w:line="240" w:lineRule="auto"/>
    </w:pPr>
  </w:style>
  <w:style w:type="paragraph" w:styleId="857">
    <w:name w:val="Balloon Text"/>
    <w:basedOn w:val="664"/>
    <w:link w:val="8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67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Header"/>
    <w:basedOn w:val="664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674"/>
    <w:link w:val="859"/>
    <w:uiPriority w:val="99"/>
  </w:style>
  <w:style w:type="paragraph" w:styleId="861">
    <w:name w:val="Footer"/>
    <w:basedOn w:val="664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674"/>
    <w:link w:val="861"/>
    <w:uiPriority w:val="99"/>
  </w:style>
  <w:style w:type="character" w:styleId="863">
    <w:name w:val="Hyperlink"/>
    <w:rPr>
      <w:color w:val="0000ff"/>
      <w:u w:val="single"/>
    </w:rPr>
  </w:style>
  <w:style w:type="paragraph" w:styleId="864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button-search"/>
    <w:basedOn w:val="674"/>
  </w:style>
  <w:style w:type="character" w:styleId="866" w:customStyle="1">
    <w:name w:val="Основной текст (2)_"/>
    <w:link w:val="867"/>
    <w:rPr>
      <w:sz w:val="28"/>
      <w:szCs w:val="28"/>
      <w:shd w:val="clear" w:color="auto" w:fill="ffffff"/>
    </w:rPr>
  </w:style>
  <w:style w:type="paragraph" w:styleId="867" w:customStyle="1">
    <w:name w:val="Основной текст (2)"/>
    <w:basedOn w:val="664"/>
    <w:link w:val="866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68" w:customStyle="1">
    <w:name w:val="blk"/>
  </w:style>
  <w:style w:type="paragraph" w:styleId="869">
    <w:name w:val="List Paragraph"/>
    <w:basedOn w:val="664"/>
    <w:uiPriority w:val="34"/>
    <w:qFormat/>
    <w:pPr>
      <w:contextualSpacing/>
      <w:ind w:left="720"/>
    </w:pPr>
  </w:style>
  <w:style w:type="paragraph" w:styleId="870">
    <w:name w:val="Body Text"/>
    <w:basedOn w:val="664"/>
    <w:link w:val="871"/>
    <w:pPr>
      <w:jc w:val="center"/>
    </w:pPr>
    <w:rPr>
      <w:sz w:val="20"/>
      <w:szCs w:val="20"/>
    </w:rPr>
  </w:style>
  <w:style w:type="character" w:styleId="871" w:customStyle="1">
    <w:name w:val="Основной текст Знак"/>
    <w:basedOn w:val="674"/>
    <w:link w:val="870"/>
    <w:rPr>
      <w:rFonts w:ascii="Times New Roman" w:hAnsi="Times New Roman" w:eastAsia="Times New Roman" w:cs="Times New Roman"/>
      <w:sz w:val="24"/>
      <w:szCs w:val="20"/>
    </w:rPr>
  </w:style>
  <w:style w:type="character" w:styleId="872" w:customStyle="1">
    <w:name w:val="Table caption_"/>
    <w:link w:val="874"/>
    <w:uiPriority w:val="99"/>
    <w:rPr>
      <w:b/>
      <w:bCs/>
      <w:shd w:val="clear" w:color="auto" w:fill="ffffff"/>
    </w:rPr>
  </w:style>
  <w:style w:type="character" w:styleId="873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74" w:customStyle="1">
    <w:name w:val="Table caption"/>
    <w:basedOn w:val="664"/>
    <w:link w:val="872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7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76" w:customStyle="1">
    <w:name w:val="user-account__name"/>
    <w:basedOn w:val="674"/>
  </w:style>
  <w:style w:type="character" w:styleId="877">
    <w:name w:val="FollowedHyperlink"/>
    <w:basedOn w:val="674"/>
    <w:uiPriority w:val="99"/>
    <w:semiHidden/>
    <w:unhideWhenUsed/>
    <w:rPr>
      <w:color w:val="954f72" w:themeColor="followedHyperlink"/>
      <w:u w:val="single"/>
    </w:rPr>
  </w:style>
  <w:style w:type="paragraph" w:styleId="878" w:customStyle="1">
    <w:name w:val="Основной стиль"/>
    <w:link w:val="821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879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0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881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adm-alekseevka.gosuslugi.ru/" TargetMode="External"/><Relationship Id="rId13" Type="http://schemas.openxmlformats.org/officeDocument/2006/relationships/hyperlink" Target="http://gazeta-zarya31.ruhttps://gazetanb.ru/" TargetMode="External"/><Relationship Id="rId14" Type="http://schemas.openxmlformats.org/officeDocument/2006/relationships/hyperlink" Target="https://znamya31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13</cp:revision>
  <dcterms:created xsi:type="dcterms:W3CDTF">2022-01-14T13:30:00Z</dcterms:created>
  <dcterms:modified xsi:type="dcterms:W3CDTF">2024-09-26T10:00:17Z</dcterms:modified>
</cp:coreProperties>
</file>