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tabs>
          <w:tab w:val="left" w:pos="851" w:leader="none"/>
        </w:tabs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управляющей организации,</w:t>
      </w:r>
      <w:r>
        <w:rPr>
          <w:b/>
          <w:sz w:val="28"/>
          <w:szCs w:val="28"/>
        </w:rPr>
      </w:r>
      <w:r/>
    </w:p>
    <w:p>
      <w:pPr>
        <w:pStyle w:val="85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осуществляющей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деятельность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 управлению многоквартирными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b/>
          <w:color w:val="000000"/>
          <w:sz w:val="28"/>
          <w:szCs w:val="28"/>
          <w:shd w:val="clear" w:color="auto" w:fill="ffffff"/>
        </w:rPr>
        <w:t xml:space="preserve">ами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до выбора собственниками помещений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в многоквартирн</w:t>
      </w:r>
      <w:r>
        <w:rPr>
          <w:b/>
          <w:color w:val="000000"/>
          <w:sz w:val="28"/>
          <w:szCs w:val="28"/>
          <w:shd w:val="clear" w:color="auto" w:fill="ffffff"/>
        </w:rPr>
        <w:t xml:space="preserve">ых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b/>
          <w:color w:val="000000"/>
          <w:sz w:val="28"/>
          <w:szCs w:val="28"/>
          <w:shd w:val="clear" w:color="auto" w:fill="ffffff"/>
        </w:rPr>
        <w:t xml:space="preserve">ах </w:t>
      </w:r>
      <w:r>
        <w:rPr>
          <w:b/>
          <w:color w:val="000000"/>
          <w:sz w:val="28"/>
          <w:szCs w:val="28"/>
          <w:shd w:val="clear" w:color="auto" w:fill="ffffff"/>
        </w:rPr>
        <w:t xml:space="preserve">способа управления или до заключения договоров управления многоквартирными дом</w:t>
      </w:r>
      <w:r>
        <w:rPr>
          <w:b/>
          <w:color w:val="000000"/>
          <w:sz w:val="28"/>
          <w:szCs w:val="28"/>
          <w:shd w:val="clear" w:color="auto" w:fill="ffffff"/>
        </w:rPr>
        <w:t xml:space="preserve">ами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с управляющей организацией, определенной собственниками помещений в многоквартирных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дом</w:t>
      </w:r>
      <w:r>
        <w:rPr>
          <w:b/>
          <w:color w:val="000000"/>
          <w:sz w:val="28"/>
          <w:szCs w:val="28"/>
          <w:shd w:val="clear" w:color="auto" w:fill="ffffff"/>
        </w:rPr>
        <w:t xml:space="preserve">ах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или </w:t>
        <w:br/>
        <w:t xml:space="preserve">по результатам открытого конкурса</w:t>
      </w:r>
      <w:r>
        <w:rPr>
          <w:b/>
          <w:sz w:val="28"/>
          <w:szCs w:val="28"/>
        </w:rPr>
        <w:t xml:space="preserve">, расположенн</w:t>
      </w:r>
      <w:r>
        <w:rPr>
          <w:b/>
          <w:sz w:val="28"/>
          <w:szCs w:val="28"/>
        </w:rPr>
        <w:t xml:space="preserve">ых</w:t>
      </w:r>
      <w:r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муниципального района «Белгородск</w:t>
      </w:r>
      <w:r>
        <w:rPr>
          <w:b/>
          <w:sz w:val="28"/>
          <w:szCs w:val="28"/>
        </w:rPr>
        <w:t xml:space="preserve">ий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Белгородск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 xml:space="preserve">и</w:t>
      </w:r>
      <w:r>
        <w:rPr>
          <w:b/>
          <w:color w:val="000000"/>
          <w:sz w:val="28"/>
          <w:szCs w:val="28"/>
          <w:shd w:val="clear" w:color="auto" w:fill="ffffff"/>
        </w:rPr>
      </w:r>
      <w:r/>
    </w:p>
    <w:p>
      <w:pPr>
        <w:pStyle w:val="85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5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sz w:val="28"/>
          <w:szCs w:val="28"/>
        </w:rPr>
        <w:t xml:space="preserve">В соответствии со статьей 161 Жилищного кодекса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Федеральным законом от 6 октября 2003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131-ФЗ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2018 г</w:t>
      </w:r>
      <w:r>
        <w:rPr>
          <w:sz w:val="28"/>
          <w:szCs w:val="28"/>
        </w:rPr>
        <w:t xml:space="preserve">.</w:t>
        <w:br/>
        <w:t xml:space="preserve">№ </w:t>
      </w:r>
      <w:r>
        <w:rPr>
          <w:sz w:val="28"/>
          <w:szCs w:val="28"/>
        </w:rPr>
        <w:t xml:space="preserve">1616 «Об утверждении Правил определения управляющей</w:t>
      </w:r>
      <w:r>
        <w:rPr>
          <w:sz w:val="28"/>
          <w:szCs w:val="28"/>
        </w:rPr>
        <w:t xml:space="preserve"> организации для </w:t>
      </w:r>
      <w:r>
        <w:rPr>
          <w:sz w:val="28"/>
          <w:szCs w:val="28"/>
        </w:rPr>
        <w:t xml:space="preserve">упра</w:t>
      </w:r>
      <w:r>
        <w:rPr>
          <w:sz w:val="28"/>
          <w:szCs w:val="28"/>
        </w:rPr>
        <w:t xml:space="preserve">вления многоквартирным домом, в </w:t>
      </w:r>
      <w:r>
        <w:rPr>
          <w:sz w:val="28"/>
          <w:szCs w:val="28"/>
        </w:rPr>
        <w:t xml:space="preserve">отношении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собственниками поме</w:t>
      </w:r>
      <w:r>
        <w:rPr>
          <w:sz w:val="28"/>
          <w:szCs w:val="28"/>
        </w:rPr>
        <w:t xml:space="preserve">щений в многоквартирном доме не </w:t>
      </w:r>
      <w:r>
        <w:rPr>
          <w:sz w:val="28"/>
          <w:szCs w:val="28"/>
        </w:rPr>
        <w:t xml:space="preserve">выбран способ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таким домом или выбранный способ управления не реализован, не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определена управляющая организация, и о внесении изменений в некоторые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акты Правительства Российской Федерации»</w:t>
      </w:r>
      <w:r>
        <w:rPr>
          <w:sz w:val="28"/>
          <w:szCs w:val="28"/>
        </w:rPr>
        <w:t xml:space="preserve">, постановлением </w:t>
      </w:r>
      <w:r>
        <w:rPr>
          <w:bCs/>
          <w:sz w:val="28"/>
          <w:szCs w:val="28"/>
        </w:rPr>
        <w:t xml:space="preserve">администрации Белгородского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sz w:val="28"/>
          <w:szCs w:val="28"/>
        </w:rPr>
        <w:t xml:space="preserve"> от 26 августа 2020 г. № 101 «Об </w:t>
      </w:r>
      <w:r>
        <w:rPr>
          <w:sz w:val="28"/>
          <w:szCs w:val="28"/>
        </w:rPr>
        <w:t xml:space="preserve">утверждении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</w:t>
      </w:r>
      <w:r>
        <w:rPr>
          <w:sz w:val="28"/>
          <w:szCs w:val="28"/>
        </w:rPr>
        <w:t xml:space="preserve">ена управляющая организация, на </w:t>
      </w:r>
      <w:r>
        <w:rPr>
          <w:sz w:val="28"/>
          <w:szCs w:val="28"/>
        </w:rPr>
        <w:t xml:space="preserve">территории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», распоряжением </w:t>
      </w:r>
      <w:r>
        <w:rPr>
          <w:bCs/>
          <w:sz w:val="28"/>
          <w:szCs w:val="28"/>
        </w:rPr>
        <w:t xml:space="preserve">администрации Белгородского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bCs/>
          <w:sz w:val="28"/>
          <w:szCs w:val="28"/>
        </w:rPr>
        <w:t xml:space="preserve"> от 27 января 2021 г. № 126 «</w:t>
      </w:r>
      <w:r>
        <w:rPr>
          <w:bCs/>
          <w:sz w:val="28"/>
          <w:szCs w:val="28"/>
        </w:rPr>
        <w:t xml:space="preserve">Об определении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уполномоченн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орган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определени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управляющ</w:t>
      </w:r>
      <w:r>
        <w:rPr>
          <w:bCs/>
          <w:sz w:val="28"/>
          <w:szCs w:val="28"/>
        </w:rPr>
        <w:t xml:space="preserve">ей</w:t>
      </w:r>
      <w:r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 xml:space="preserve">и для </w:t>
      </w:r>
      <w:r>
        <w:rPr>
          <w:bCs/>
          <w:sz w:val="28"/>
          <w:szCs w:val="28"/>
        </w:rPr>
        <w:t xml:space="preserve">управления многоквартирным дом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в случаях, установленных Жилищным кодексом Российской Федерации</w:t>
      </w:r>
      <w:r>
        <w:rPr>
          <w:bCs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 xml:space="preserve">администрации Белгородского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</w:t>
      </w:r>
      <w:r>
        <w:rPr>
          <w:bCs/>
          <w:sz w:val="28"/>
          <w:szCs w:val="28"/>
        </w:rPr>
        <w:t xml:space="preserve"> от 13 сентября 2022 г. № 90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«Об утверждении размера платы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за содержание жилого помещения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для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собственников жилых помещений,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которые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не приняли решение о 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выборе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способа управления многоквартирным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домом, решение об 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установлении размера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платы за содержание жилого помещения</w:t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порядка определения предельных индексов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изменения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 размера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такой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платы</w:t>
      </w:r>
      <w:r>
        <w:rPr>
          <w:b w:val="0"/>
          <w:bCs w:val="0"/>
        </w:rPr>
        <w:t xml:space="preserve">»</w:t>
      </w:r>
      <w:r>
        <w:rPr>
          <w:b w:val="0"/>
          <w:bCs w:val="0"/>
          <w:sz w:val="28"/>
          <w:szCs w:val="28"/>
        </w:rPr>
        <w:t xml:space="preserve"> (в ред. </w:t>
      </w:r>
      <w:r>
        <w:rPr>
          <w:bCs/>
          <w:sz w:val="28"/>
          <w:szCs w:val="28"/>
        </w:rPr>
        <w:t xml:space="preserve">от 14 февраля 2024 г. № 15), </w:t>
      </w:r>
      <w:r>
        <w:rPr>
          <w:rFonts w:eastAsia="Calibri"/>
          <w:sz w:val="28"/>
          <w:szCs w:val="28"/>
        </w:rPr>
        <w:t xml:space="preserve">в целях недопущения нарушения прав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граждан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создания угрозы безопасности прож</w:t>
      </w:r>
      <w:r>
        <w:rPr>
          <w:rFonts w:eastAsia="Calibri"/>
          <w:sz w:val="28"/>
          <w:szCs w:val="28"/>
        </w:rPr>
        <w:t xml:space="preserve">ивания </w:t>
        <w:br/>
        <w:t xml:space="preserve">в многоквартирн</w:t>
      </w:r>
      <w:r>
        <w:rPr>
          <w:rFonts w:eastAsia="Calibri"/>
          <w:sz w:val="28"/>
          <w:szCs w:val="28"/>
        </w:rPr>
        <w:t xml:space="preserve">ом</w:t>
      </w:r>
      <w:r>
        <w:rPr>
          <w:rFonts w:eastAsia="Calibri"/>
          <w:sz w:val="28"/>
          <w:szCs w:val="28"/>
        </w:rPr>
        <w:t xml:space="preserve"> дом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 также ситуации, при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которой много</w:t>
      </w:r>
      <w:r>
        <w:rPr>
          <w:rFonts w:eastAsia="Calibri"/>
          <w:sz w:val="28"/>
          <w:szCs w:val="28"/>
        </w:rPr>
        <w:t xml:space="preserve">квартирны</w:t>
      </w:r>
      <w:r>
        <w:rPr>
          <w:rFonts w:eastAsia="Calibri"/>
          <w:sz w:val="28"/>
          <w:szCs w:val="28"/>
        </w:rPr>
        <w:t xml:space="preserve">й</w:t>
      </w:r>
      <w:r>
        <w:rPr>
          <w:rFonts w:eastAsia="Calibri"/>
          <w:sz w:val="28"/>
          <w:szCs w:val="28"/>
        </w:rPr>
        <w:t xml:space="preserve"> дом </w:t>
      </w:r>
      <w:r>
        <w:rPr>
          <w:rFonts w:eastAsia="Calibri"/>
          <w:sz w:val="28"/>
          <w:szCs w:val="28"/>
        </w:rPr>
        <w:t xml:space="preserve">може</w:t>
      </w:r>
      <w:r>
        <w:rPr>
          <w:rFonts w:eastAsia="Calibri"/>
          <w:sz w:val="28"/>
          <w:szCs w:val="28"/>
        </w:rPr>
        <w:t xml:space="preserve">т оказаться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без обслуживания управляющей организацией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</w:r>
      <w:r/>
    </w:p>
    <w:p>
      <w:pPr>
        <w:pStyle w:val="859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</w:t>
      </w:r>
      <w:r>
        <w:rPr>
          <w:bCs/>
          <w:sz w:val="28"/>
          <w:szCs w:val="28"/>
        </w:rPr>
        <w:t xml:space="preserve">Определить </w:t>
      </w:r>
      <w:r>
        <w:rPr>
          <w:bCs/>
          <w:sz w:val="28"/>
          <w:szCs w:val="28"/>
        </w:rPr>
        <w:t xml:space="preserve">управляющ</w:t>
      </w:r>
      <w:r>
        <w:rPr>
          <w:bCs/>
          <w:sz w:val="28"/>
          <w:szCs w:val="28"/>
        </w:rPr>
        <w:t xml:space="preserve">ей</w:t>
      </w:r>
      <w:r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 xml:space="preserve">ей</w:t>
      </w:r>
      <w:r>
        <w:rPr>
          <w:b w:val="0"/>
          <w:bCs w:val="0"/>
          <w:sz w:val="26"/>
          <w:szCs w:val="26"/>
        </w:rPr>
        <w:t xml:space="preserve">,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осуществляющ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деятельность по управлению многоквартирными</w:t>
      </w:r>
      <w:r>
        <w:rPr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color w:val="000000"/>
          <w:sz w:val="28"/>
          <w:szCs w:val="28"/>
          <w:shd w:val="clear" w:color="auto" w:fill="ffffff"/>
        </w:rPr>
        <w:t xml:space="preserve">ами</w:t>
      </w:r>
      <w:r>
        <w:rPr>
          <w:color w:val="000000"/>
          <w:sz w:val="28"/>
          <w:szCs w:val="28"/>
          <w:shd w:val="clear" w:color="auto" w:fill="ffffff"/>
        </w:rPr>
        <w:t xml:space="preserve"> до выбора собственниками помещений в многоквартирн</w:t>
      </w:r>
      <w:r>
        <w:rPr>
          <w:color w:val="000000"/>
          <w:sz w:val="28"/>
          <w:szCs w:val="28"/>
          <w:shd w:val="clear" w:color="auto" w:fill="ffffff"/>
        </w:rPr>
        <w:t xml:space="preserve">ых</w:t>
      </w:r>
      <w:r>
        <w:rPr>
          <w:color w:val="000000"/>
          <w:sz w:val="28"/>
          <w:szCs w:val="28"/>
          <w:shd w:val="clear" w:color="auto" w:fill="ffffff"/>
        </w:rPr>
        <w:t xml:space="preserve"> дом</w:t>
      </w:r>
      <w:r>
        <w:rPr>
          <w:color w:val="000000"/>
          <w:sz w:val="28"/>
          <w:szCs w:val="28"/>
          <w:shd w:val="clear" w:color="auto" w:fill="ffffff"/>
        </w:rPr>
        <w:t xml:space="preserve">ах</w:t>
      </w:r>
      <w:r>
        <w:rPr>
          <w:color w:val="000000"/>
          <w:sz w:val="28"/>
          <w:szCs w:val="28"/>
          <w:shd w:val="clear" w:color="auto" w:fill="ffffff"/>
        </w:rPr>
        <w:t xml:space="preserve"> способа управления</w:t>
        <w:br/>
        <w:t xml:space="preserve">или </w:t>
      </w:r>
      <w:r>
        <w:rPr>
          <w:color w:val="000000"/>
          <w:sz w:val="28"/>
          <w:szCs w:val="28"/>
          <w:shd w:val="clear" w:color="auto" w:fill="ffffff"/>
        </w:rPr>
        <w:t xml:space="preserve">до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заключения договоров управления многоквартирными дом</w:t>
      </w:r>
      <w:r>
        <w:rPr>
          <w:color w:val="000000"/>
          <w:sz w:val="28"/>
          <w:szCs w:val="28"/>
          <w:shd w:val="clear" w:color="auto" w:fill="ffffff"/>
        </w:rPr>
        <w:t xml:space="preserve">ами</w:t>
      </w:r>
      <w:r>
        <w:rPr>
          <w:color w:val="000000"/>
          <w:sz w:val="28"/>
          <w:szCs w:val="28"/>
          <w:shd w:val="clear" w:color="auto" w:fill="ffffff"/>
        </w:rPr>
        <w:br/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управляющей организацией, определенной собстве</w:t>
      </w:r>
      <w:r>
        <w:rPr>
          <w:color w:val="000000"/>
          <w:sz w:val="28"/>
          <w:szCs w:val="28"/>
          <w:shd w:val="clear" w:color="auto" w:fill="ffffff"/>
        </w:rPr>
        <w:t xml:space="preserve">нниками помещений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многоквартирн</w:t>
      </w:r>
      <w:r>
        <w:rPr>
          <w:color w:val="000000"/>
          <w:sz w:val="28"/>
          <w:szCs w:val="28"/>
          <w:shd w:val="clear" w:color="auto" w:fill="ffffff"/>
        </w:rPr>
        <w:t xml:space="preserve">ых</w:t>
      </w:r>
      <w:r>
        <w:rPr>
          <w:color w:val="000000"/>
          <w:sz w:val="28"/>
          <w:szCs w:val="28"/>
          <w:shd w:val="clear" w:color="auto" w:fill="ffffff"/>
        </w:rPr>
        <w:t xml:space="preserve"> домах</w:t>
      </w:r>
      <w:r>
        <w:rPr>
          <w:color w:val="000000"/>
          <w:sz w:val="28"/>
          <w:szCs w:val="28"/>
          <w:shd w:val="clear" w:color="auto" w:fill="ffffff"/>
        </w:rPr>
        <w:t xml:space="preserve"> или по результатам открытого конкурса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Общество </w:t>
        <w:br/>
        <w:t xml:space="preserve">с </w:t>
      </w:r>
      <w:r>
        <w:rPr>
          <w:sz w:val="28"/>
          <w:szCs w:val="28"/>
        </w:rPr>
        <w:t xml:space="preserve">ограниченной ответственностью </w:t>
      </w:r>
      <w:r>
        <w:rPr>
          <w:sz w:val="28"/>
          <w:szCs w:val="28"/>
        </w:rPr>
        <w:t xml:space="preserve">«Управление по эксплуатации и ремонту «Мир Сервис» </w:t>
      </w:r>
      <w:r>
        <w:rPr>
          <w:sz w:val="28"/>
          <w:szCs w:val="28"/>
        </w:rPr>
        <w:t xml:space="preserve">(ООО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«УЭР «МС</w:t>
      </w:r>
      <w:r>
        <w:rPr>
          <w:sz w:val="28"/>
          <w:szCs w:val="28"/>
        </w:rPr>
        <w:t xml:space="preserve">», ИНН 3123409624, ОГРН 1173123010180)</w:t>
      </w:r>
      <w:r>
        <w:rPr>
          <w:sz w:val="28"/>
          <w:szCs w:val="28"/>
        </w:rPr>
        <w:t xml:space="preserve"> </w:t>
        <w:br/>
      </w:r>
      <w:r>
        <w:rPr>
          <w:bCs/>
          <w:sz w:val="28"/>
          <w:szCs w:val="28"/>
        </w:rPr>
        <w:t xml:space="preserve">для управления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многоквартирными домами, расположенн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и по адресу: Белгородск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область, Белгородский район</w:t>
      </w:r>
      <w:r>
        <w:rPr>
          <w:sz w:val="28"/>
          <w:szCs w:val="28"/>
        </w:rPr>
        <w:t xml:space="preserve">, с. Беловское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ул. Центральная, </w:t>
      </w:r>
      <w:r>
        <w:rPr>
          <w:b w:val="0"/>
          <w:bCs w:val="0"/>
          <w:sz w:val="28"/>
          <w:szCs w:val="28"/>
        </w:rPr>
        <w:t xml:space="preserve">дома №№  25, 27</w:t>
      </w:r>
      <w:r>
        <w:rPr>
          <w:sz w:val="28"/>
          <w:szCs w:val="28"/>
        </w:rPr>
        <w:t xml:space="preserve">.</w:t>
      </w:r>
      <w:r/>
    </w:p>
    <w:p>
      <w:pPr>
        <w:pStyle w:val="700"/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перечень работ и услуг </w:t>
      </w:r>
      <w:r>
        <w:rPr>
          <w:sz w:val="28"/>
          <w:szCs w:val="28"/>
        </w:rPr>
        <w:t xml:space="preserve">по управлению многоквартирными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, услуг и работ по содержанию и ремонту общего имущества</w:t>
      </w:r>
      <w:r>
        <w:rPr>
          <w:sz w:val="28"/>
          <w:szCs w:val="28"/>
        </w:rPr>
        <w:t xml:space="preserve"> согласно минимальному перечню услуг и работ, необходимых для обеспечения надлежащего содержания общего имущества в многоквартирных домах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а также размер платы з</w:t>
      </w:r>
      <w:r>
        <w:rPr>
          <w:sz w:val="28"/>
          <w:szCs w:val="28"/>
        </w:rPr>
        <w:t xml:space="preserve">а содержание жилых помещений в </w:t>
      </w:r>
      <w:r>
        <w:rPr>
          <w:sz w:val="28"/>
          <w:szCs w:val="28"/>
        </w:rPr>
        <w:t xml:space="preserve">многоквартирн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ах, указанных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1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(прилагается)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/>
    </w:p>
    <w:p>
      <w:pPr>
        <w:pStyle w:val="859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3. 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омитет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 ЖКХ, транспорта и инженерной инфраструктуры администрации Белгородского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Индучный П.Ю.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</w:t>
      </w:r>
      <w:r/>
    </w:p>
    <w:p>
      <w:pPr>
        <w:pStyle w:val="859"/>
        <w:ind w:firstLine="709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 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рабочего</w:t>
      </w:r>
      <w:r>
        <w:rPr>
          <w:color w:val="000000"/>
          <w:sz w:val="28"/>
          <w:szCs w:val="28"/>
        </w:rPr>
        <w:t xml:space="preserve"> дня</w:t>
      </w:r>
      <w:r>
        <w:rPr>
          <w:color w:val="000000"/>
          <w:sz w:val="28"/>
          <w:szCs w:val="28"/>
        </w:rPr>
        <w:t xml:space="preserve"> со дня принятия настоящего </w:t>
      </w:r>
      <w:r>
        <w:rPr>
          <w:sz w:val="28"/>
          <w:szCs w:val="28"/>
        </w:rPr>
        <w:t xml:space="preserve">распоряжения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его </w:t>
      </w:r>
      <w:r>
        <w:rPr>
          <w:color w:val="000000"/>
          <w:sz w:val="28"/>
          <w:szCs w:val="28"/>
        </w:rPr>
        <w:t xml:space="preserve">опубликование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газете «Знамя»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размещение </w:t>
      </w:r>
      <w:r>
        <w:rPr>
          <w:color w:val="000000"/>
          <w:sz w:val="28"/>
          <w:szCs w:val="28"/>
        </w:rPr>
        <w:br w:type="textWrapping" w:clear="all"/>
        <w:t xml:space="preserve">на </w:t>
      </w:r>
      <w:r>
        <w:rPr>
          <w:color w:val="000000"/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органов местного самоуправления муниципального района «Белгородский район» Белгородской области </w:t>
      </w:r>
      <w:r>
        <w:rPr>
          <w:rStyle w:val="876"/>
          <w:rFonts w:ascii="Times New Roman" w:hAnsi="Times New Roman"/>
          <w:sz w:val="28"/>
          <w:szCs w:val="28"/>
        </w:rPr>
        <w:t xml:space="preserve">в информационно</w:t>
      </w:r>
      <w:r>
        <w:rPr>
          <w:rStyle w:val="876"/>
          <w:rFonts w:ascii="Times New Roman" w:hAnsi="Times New Roman"/>
          <w:sz w:val="28"/>
          <w:szCs w:val="28"/>
        </w:rPr>
        <w:t xml:space="preserve">-</w:t>
      </w:r>
      <w:r>
        <w:rPr>
          <w:rStyle w:val="876"/>
          <w:rFonts w:ascii="Times New Roman" w:hAnsi="Times New Roman"/>
          <w:sz w:val="28"/>
          <w:szCs w:val="28"/>
        </w:rPr>
        <w:t xml:space="preserve">телекоммуникационной сети Интернет</w:t>
      </w:r>
      <w:r>
        <w:rPr>
          <w:rStyle w:val="876"/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belgor</w:t>
      </w:r>
      <w:r>
        <w:rPr>
          <w:sz w:val="28"/>
          <w:szCs w:val="28"/>
        </w:rPr>
        <w:t xml:space="preserve">odskij-r31.gosweb.gosuslugi.ru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государственной информационной системе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жилищно-коммунального хозяйства</w:t>
      </w:r>
      <w:r>
        <w:rPr>
          <w:color w:val="000000"/>
          <w:sz w:val="28"/>
          <w:szCs w:val="28"/>
        </w:rPr>
        <w:t xml:space="preserve">, а также направление его в </w:t>
      </w:r>
      <w:r>
        <w:rPr>
          <w:sz w:val="28"/>
          <w:szCs w:val="28"/>
        </w:rPr>
        <w:t xml:space="preserve">ООО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«УЭР «МС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 Управление государственного жилищного надзора Белгородской области.</w:t>
      </w:r>
      <w:r>
        <w:rPr>
          <w:color w:val="000000"/>
          <w:sz w:val="28"/>
          <w:szCs w:val="28"/>
        </w:rPr>
      </w:r>
      <w:r/>
    </w:p>
    <w:p>
      <w:pPr>
        <w:pStyle w:val="859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3.2. </w:t>
      </w:r>
      <w:r>
        <w:rPr>
          <w:bCs/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пяти рабочих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письменно уведомить </w:t>
      </w:r>
      <w:r>
        <w:rPr>
          <w:sz w:val="28"/>
          <w:szCs w:val="28"/>
        </w:rPr>
        <w:t xml:space="preserve">собствен</w:t>
      </w:r>
      <w:r>
        <w:rPr>
          <w:sz w:val="28"/>
          <w:szCs w:val="28"/>
        </w:rPr>
        <w:t xml:space="preserve">ников</w:t>
      </w:r>
      <w:r>
        <w:rPr>
          <w:sz w:val="28"/>
          <w:szCs w:val="28"/>
        </w:rPr>
        <w:t xml:space="preserve"> помещений </w:t>
        <w:br/>
        <w:t xml:space="preserve">в </w:t>
      </w:r>
      <w:r>
        <w:rPr>
          <w:sz w:val="28"/>
          <w:szCs w:val="28"/>
        </w:rPr>
        <w:t xml:space="preserve">многоквартирн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принятом распоряжении, </w:t>
      </w:r>
      <w:r>
        <w:rPr>
          <w:sz w:val="28"/>
          <w:szCs w:val="28"/>
        </w:rPr>
        <w:t xml:space="preserve">условиях договора управления и условиях прекращения договора управления с </w:t>
      </w:r>
      <w:r>
        <w:rPr>
          <w:sz w:val="28"/>
          <w:szCs w:val="28"/>
        </w:rPr>
        <w:t xml:space="preserve">управляющей организацией</w:t>
      </w:r>
      <w:r>
        <w:rPr>
          <w:sz w:val="28"/>
          <w:szCs w:val="28"/>
        </w:rPr>
        <w:t xml:space="preserve">.</w:t>
      </w:r>
      <w:r/>
    </w:p>
    <w:p>
      <w:pPr>
        <w:pStyle w:val="859"/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со дня</w:t>
      </w:r>
      <w:r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опубликования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9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возложить на </w:t>
      </w:r>
      <w:r>
        <w:rPr>
          <w:bCs/>
          <w:sz w:val="28"/>
          <w:szCs w:val="28"/>
        </w:rPr>
        <w:t xml:space="preserve">комитет ЖКХ, транспорта и инженерной инфраструктуры администрации Белгородского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Индучный П.Ю.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spacing w:line="256" w:lineRule="auto"/>
      </w:pPr>
      <w:r>
        <w:rPr>
          <w:b/>
          <w:bCs/>
          <w:sz w:val="28"/>
          <w:szCs w:val="28"/>
          <w:lang w:eastAsia="en-US"/>
        </w:rPr>
        <w:t xml:space="preserve">Глава администрации </w:t>
      </w:r>
      <w:r>
        <w:rPr>
          <w:b/>
          <w:bCs/>
          <w:sz w:val="28"/>
          <w:szCs w:val="28"/>
          <w:lang w:eastAsia="en-US"/>
        </w:rPr>
      </w:r>
      <w:r/>
    </w:p>
    <w:p>
      <w:pPr>
        <w:spacing w:line="256" w:lineRule="auto"/>
        <w:rPr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Белгородского района</w:t>
      </w:r>
      <w:r>
        <w:rPr>
          <w:b/>
          <w:bCs/>
          <w:sz w:val="28"/>
          <w:szCs w:val="28"/>
          <w:lang w:eastAsia="en-US"/>
        </w:rPr>
        <w:tab/>
        <w:tab/>
        <w:tab/>
        <w:tab/>
        <w:tab/>
        <w:tab/>
        <w:t xml:space="preserve">        </w:t>
      </w:r>
      <w:r>
        <w:rPr>
          <w:b/>
          <w:bCs/>
          <w:sz w:val="28"/>
          <w:szCs w:val="28"/>
          <w:lang w:eastAsia="en-US"/>
        </w:rPr>
        <w:t xml:space="preserve">А.П. Куташова</w:t>
      </w:r>
      <w:r>
        <w:rPr>
          <w:b/>
          <w:bCs/>
          <w:sz w:val="28"/>
          <w:szCs w:val="28"/>
          <w:lang w:eastAsia="en-US"/>
        </w:rPr>
        <w:tab/>
      </w:r>
      <w:r/>
    </w:p>
    <w:p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59"/>
        <w:ind w:left="4956" w:firstLine="708"/>
        <w:jc w:val="center"/>
        <w:rPr>
          <w:b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851" w:right="567" w:bottom="993" w:left="1701" w:header="709" w:footer="709" w:gutter="0"/>
          <w:cols w:num="1" w:sep="0" w:space="708" w:equalWidth="1"/>
          <w:docGrid w:linePitch="360"/>
          <w:titlePg/>
        </w:sectPr>
      </w:pPr>
      <w:r>
        <w:rPr>
          <w:b/>
        </w:rPr>
      </w:r>
      <w:r/>
    </w:p>
    <w:p>
      <w:pPr>
        <w:pStyle w:val="700"/>
        <w:rPr>
          <w:rStyle w:val="883"/>
          <w:rFonts w:ascii="Tinos" w:hAnsi="Tinos" w:cs="Tinos"/>
          <w:b/>
          <w:bCs/>
        </w:rPr>
      </w:pPr>
      <w:r>
        <w:rPr>
          <w:b/>
        </w:rPr>
        <w:t xml:space="preserve">                                                                                             </w:t>
      </w:r>
      <w:r>
        <w:rPr>
          <w:rStyle w:val="883"/>
          <w:rFonts w:ascii="Tinos" w:hAnsi="Tinos" w:cs="Tinos"/>
        </w:rPr>
        <w:tab/>
        <w:tab/>
        <w:tab/>
        <w:tab/>
        <w:tab/>
        <w:tab/>
        <w:tab/>
        <w:tab/>
        <w:tab/>
        <w:tab/>
      </w:r>
      <w:r>
        <w:rPr>
          <w:rStyle w:val="883"/>
          <w:rFonts w:ascii="Tinos" w:hAnsi="Tinos" w:cs="Tinos"/>
          <w:b/>
          <w:bCs/>
        </w:rPr>
        <w:t xml:space="preserve">           Приложение </w:t>
      </w:r>
      <w:r>
        <w:rPr>
          <w:rFonts w:ascii="Tinos" w:hAnsi="Tinos" w:cs="Tinos"/>
          <w:b/>
          <w:bCs/>
        </w:rPr>
      </w:r>
      <w:r/>
    </w:p>
    <w:p>
      <w:pPr>
        <w:pStyle w:val="700"/>
        <w:ind w:left="10620" w:firstLine="0"/>
        <w:jc w:val="center"/>
        <w:rPr>
          <w:rStyle w:val="883"/>
          <w:rFonts w:ascii="Tinos" w:hAnsi="Tinos" w:cs="Tinos"/>
          <w:b/>
          <w:bCs/>
        </w:rPr>
      </w:pPr>
      <w:r>
        <w:rPr>
          <w:rStyle w:val="883"/>
          <w:rFonts w:ascii="Tinos" w:hAnsi="Tinos" w:cs="Tinos"/>
          <w:b/>
          <w:bCs/>
        </w:rPr>
        <w:t xml:space="preserve">        к распоряжению администрации          Белгородского района </w:t>
      </w:r>
      <w:r>
        <w:rPr>
          <w:rFonts w:ascii="Tinos" w:hAnsi="Tinos" w:cs="Tinos"/>
          <w:b/>
          <w:bCs/>
        </w:rPr>
      </w:r>
      <w:r/>
    </w:p>
    <w:p>
      <w:pPr>
        <w:pStyle w:val="700"/>
        <w:ind w:left="10620" w:firstLine="0"/>
        <w:rPr>
          <w:rFonts w:ascii="Tinos" w:hAnsi="Tinos" w:cs="Tinos"/>
        </w:rPr>
      </w:pPr>
      <w:r>
        <w:rPr>
          <w:rStyle w:val="883"/>
          <w:rFonts w:ascii="Tinos" w:hAnsi="Tinos" w:cs="Tinos"/>
          <w:b/>
          <w:bCs/>
        </w:rPr>
        <w:t xml:space="preserve">      от «</w:t>
      </w:r>
      <w:r>
        <w:rPr>
          <w:rStyle w:val="883"/>
          <w:rFonts w:ascii="Tinos" w:hAnsi="Tinos" w:cs="Tinos"/>
          <w:b/>
          <w:bCs/>
        </w:rPr>
        <w:t xml:space="preserve">___»</w:t>
      </w:r>
      <w:r>
        <w:rPr>
          <w:rStyle w:val="883"/>
          <w:rFonts w:ascii="Tinos" w:hAnsi="Tinos" w:cs="Tinos"/>
          <w:b/>
          <w:bCs/>
        </w:rPr>
        <w:t xml:space="preserve">_________ 2024</w:t>
      </w:r>
      <w:r>
        <w:rPr>
          <w:rStyle w:val="883"/>
          <w:rFonts w:ascii="Tinos" w:hAnsi="Tinos" w:cs="Tinos"/>
          <w:b/>
          <w:bCs/>
        </w:rPr>
        <w:t xml:space="preserve"> г.</w:t>
      </w:r>
      <w:r>
        <w:rPr>
          <w:rStyle w:val="883"/>
          <w:rFonts w:ascii="Tinos" w:hAnsi="Tinos" w:cs="Tinos"/>
          <w:b/>
          <w:bCs/>
        </w:rPr>
        <w:t xml:space="preserve"> №</w:t>
      </w:r>
      <w:r>
        <w:rPr>
          <w:rStyle w:val="883"/>
          <w:rFonts w:ascii="Tinos" w:hAnsi="Tinos" w:cs="Tinos"/>
          <w:b/>
          <w:bCs/>
        </w:rPr>
        <w:t xml:space="preserve"> _____</w:t>
        <w:tab/>
      </w:r>
      <w:r>
        <w:rPr>
          <w:b/>
          <w:bCs/>
        </w:rPr>
      </w:r>
      <w:r/>
    </w:p>
    <w:p>
      <w:pPr>
        <w:pStyle w:val="889"/>
        <w:ind w:left="660" w:right="780" w:firstLine="300"/>
        <w:spacing w:after="0"/>
        <w:shd w:val="clear" w:color="auto" w:fill="auto"/>
        <w:rPr>
          <w:rFonts w:ascii="Tinos" w:hAnsi="Tinos" w:cs="Tinos"/>
        </w:rPr>
      </w:pPr>
      <w:r>
        <w:rPr>
          <w:rStyle w:val="883"/>
          <w:rFonts w:ascii="Tinos" w:hAnsi="Tinos" w:cs="Tinos"/>
          <w:highlight w:val="none"/>
        </w:rPr>
      </w:r>
      <w:r>
        <w:rPr>
          <w:rStyle w:val="883"/>
          <w:rFonts w:ascii="Tinos" w:hAnsi="Tinos" w:cs="Tinos"/>
          <w:highlight w:val="none"/>
        </w:rPr>
      </w:r>
      <w:r/>
    </w:p>
    <w:p>
      <w:pPr>
        <w:pStyle w:val="889"/>
        <w:ind w:left="660" w:right="780" w:firstLine="300"/>
        <w:spacing w:after="0"/>
        <w:shd w:val="clear" w:color="auto" w:fill="auto"/>
        <w:rPr>
          <w:rStyle w:val="883"/>
          <w:rFonts w:ascii="Tinos" w:hAnsi="Tinos" w:cs="Tinos"/>
          <w:highlight w:val="none"/>
        </w:rPr>
      </w:pPr>
      <w:r>
        <w:rPr>
          <w:rStyle w:val="883"/>
          <w:rFonts w:ascii="Tinos" w:hAnsi="Tinos" w:cs="Tinos"/>
          <w:highlight w:val="none"/>
        </w:rPr>
      </w:r>
      <w:r>
        <w:rPr>
          <w:rStyle w:val="883"/>
          <w:rFonts w:ascii="Tinos" w:hAnsi="Tinos" w:cs="Tinos"/>
          <w:highlight w:val="none"/>
        </w:rPr>
      </w:r>
      <w:r/>
    </w:p>
    <w:p>
      <w:pPr>
        <w:pStyle w:val="889"/>
        <w:ind w:left="660" w:right="780" w:firstLine="300"/>
        <w:jc w:val="center"/>
        <w:spacing w:after="0"/>
        <w:shd w:val="clear" w:color="auto" w:fill="auto"/>
        <w:rPr>
          <w:rFonts w:ascii="Tinos" w:hAnsi="Tinos" w:cs="Tinos"/>
          <w:b/>
          <w:bCs/>
          <w:highlight w:val="none"/>
        </w:rPr>
      </w:pPr>
      <w:r>
        <w:rPr>
          <w:rStyle w:val="883"/>
          <w:rFonts w:ascii="Tinos" w:hAnsi="Tinos" w:cs="Tinos"/>
          <w:b/>
          <w:bCs/>
          <w:highlight w:val="none"/>
        </w:rPr>
      </w:r>
      <w:r>
        <w:rPr>
          <w:rStyle w:val="883"/>
          <w:rFonts w:ascii="Tinos" w:hAnsi="Tinos" w:cs="Tinos"/>
          <w:b/>
          <w:bCs/>
          <w:highlight w:val="none"/>
        </w:rPr>
      </w:r>
      <w:r/>
    </w:p>
    <w:p>
      <w:pPr>
        <w:pStyle w:val="889"/>
        <w:ind w:left="142" w:right="780" w:firstLine="0"/>
        <w:jc w:val="center"/>
        <w:spacing w:after="0"/>
        <w:shd w:val="clear" w:color="auto" w:fill="auto"/>
        <w:rPr>
          <w:rStyle w:val="883"/>
          <w:rFonts w:ascii="Tinos" w:hAnsi="Tinos" w:cs="Tinos"/>
          <w:b/>
          <w:bCs/>
          <w14:ligatures w14:val="none"/>
        </w:rPr>
      </w:pPr>
      <w:r>
        <w:rPr>
          <w:rStyle w:val="883"/>
          <w:rFonts w:ascii="Tinos" w:hAnsi="Tinos" w:cs="Tinos"/>
          <w:b/>
          <w:bCs/>
        </w:rPr>
        <w:t xml:space="preserve">Перечень работ и услуг по управлению многоквартирными домами, услуг и работ по содержанию и ремонту общего имущества согласно минимальному перечню услуг и работ, необходимых для</w:t>
      </w:r>
      <w:r>
        <w:rPr>
          <w:rStyle w:val="883"/>
          <w:rFonts w:ascii="Tinos" w:hAnsi="Tinos" w:cs="Tinos"/>
          <w:b/>
          <w:bCs/>
        </w:rPr>
        <w:t xml:space="preserve"> обеспечения надлежащего содержания общего имущества в многоквартирных домах, а также размер платы за содержание жилых помещений в многоквартирных домах,</w:t>
      </w:r>
      <w:r>
        <w:rPr>
          <w:rFonts w:ascii="Tinos" w:hAnsi="Tinos" w:cs="Tinos"/>
          <w:b/>
          <w:bCs/>
        </w:rPr>
        <w:t xml:space="preserve"> </w:t>
      </w:r>
      <w:r>
        <w:rPr>
          <w:rStyle w:val="883"/>
          <w:rFonts w:ascii="Tinos" w:hAnsi="Tinos" w:cs="Tinos"/>
          <w:b/>
          <w:bCs/>
        </w:rPr>
        <w:t xml:space="preserve">расположенных по адрес</w:t>
      </w:r>
      <w:bookmarkStart w:id="0" w:name="undefined"/>
      <w:r>
        <w:rPr>
          <w:rFonts w:ascii="Tinos" w:hAnsi="Tinos" w:cs="Tinos"/>
          <w:b/>
          <w:bCs/>
        </w:rPr>
      </w:r>
      <w:bookmarkEnd w:id="0"/>
      <w:r>
        <w:rPr>
          <w:rStyle w:val="883"/>
          <w:rFonts w:ascii="Tinos" w:hAnsi="Tinos" w:cs="Tinos"/>
          <w:b/>
          <w:bCs/>
        </w:rPr>
        <w:t xml:space="preserve">у: Белгородская область, Белгородский район, </w:t>
      </w:r>
      <w:r>
        <w:rPr>
          <w:rStyle w:val="883"/>
          <w:rFonts w:ascii="Tinos" w:hAnsi="Tinos" w:cs="Tinos"/>
          <w:b/>
          <w:bCs/>
        </w:rPr>
        <w:t xml:space="preserve">с. Беловское</w:t>
      </w:r>
      <w:r>
        <w:t xml:space="preserve">, </w:t>
      </w:r>
      <w:r>
        <w:rPr>
          <w:rStyle w:val="883"/>
          <w:rFonts w:ascii="Tinos" w:hAnsi="Tinos" w:cs="Tinos"/>
          <w:b/>
          <w:bCs/>
        </w:rPr>
        <w:t xml:space="preserve">ул. Центральная, дома №№  25,  27</w:t>
      </w:r>
      <w:r/>
    </w:p>
    <w:p>
      <w:pPr>
        <w:pStyle w:val="889"/>
        <w:ind w:left="142" w:right="780" w:firstLine="0"/>
        <w:jc w:val="center"/>
        <w:spacing w:after="0"/>
        <w:shd w:val="clear" w:color="auto" w:fill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47"/>
        <w:gridCol w:w="3543"/>
        <w:gridCol w:w="1061"/>
        <w:gridCol w:w="1810"/>
        <w:gridCol w:w="1694"/>
        <w:gridCol w:w="1690"/>
        <w:gridCol w:w="2275"/>
      </w:tblGrid>
      <w:tr>
        <w:trPr>
          <w:jc w:val="center"/>
          <w:trHeight w:val="55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24" w:type="dxa"/>
            <w:vAlign w:val="top"/>
            <w:vMerge w:val="restart"/>
            <w:textDirection w:val="lrTb"/>
            <w:noWrap w:val="false"/>
          </w:tcPr>
          <w:p>
            <w:pPr>
              <w:pStyle w:val="889"/>
              <w:ind w:left="200"/>
              <w:jc w:val="left"/>
              <w:spacing w:after="0" w:line="24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  <w:highlight w:val="none"/>
              </w:rPr>
            </w:r>
            <w:r>
              <w:rPr>
                <w:rStyle w:val="884"/>
                <w:rFonts w:ascii="Tinos" w:hAnsi="Tinos" w:cs="Tinos"/>
                <w:b/>
                <w:bCs/>
                <w:highlight w:val="none"/>
              </w:rPr>
            </w:r>
            <w:r/>
          </w:p>
          <w:p>
            <w:pPr>
              <w:pStyle w:val="889"/>
              <w:ind w:left="200"/>
              <w:jc w:val="left"/>
              <w:spacing w:after="0" w:line="240" w:lineRule="exact"/>
              <w:shd w:val="clear" w:color="auto" w:fill="auto"/>
              <w:rPr>
                <w:rStyle w:val="884"/>
                <w:rFonts w:ascii="Tinos" w:hAnsi="Tinos" w:cs="Tinos"/>
                <w:b/>
                <w:bCs/>
                <w:highlight w:val="none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№ п/</w:t>
            </w:r>
            <w:r>
              <w:rPr>
                <w:rStyle w:val="884"/>
                <w:rFonts w:ascii="Tinos" w:hAnsi="Tinos" w:cs="Tinos"/>
                <w:b/>
                <w:bCs/>
              </w:rPr>
              <w:t xml:space="preserve">п</w:t>
            </w:r>
            <w:r>
              <w:rPr>
                <w:rStyle w:val="884"/>
                <w:rFonts w:ascii="Tinos" w:hAnsi="Tinos" w:cs="Tinos"/>
                <w:b/>
                <w:bCs/>
                <w:highlight w:val="none"/>
              </w:rPr>
            </w:r>
            <w:r/>
          </w:p>
          <w:p>
            <w:pPr>
              <w:pStyle w:val="889"/>
              <w:ind w:left="200"/>
              <w:jc w:val="left"/>
              <w:spacing w:after="0" w:line="24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  <w:r/>
          </w:p>
          <w:p>
            <w:pPr>
              <w:pStyle w:val="889"/>
              <w:ind w:left="200"/>
              <w:jc w:val="left"/>
              <w:spacing w:after="0" w:line="24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  <w:r/>
          </w:p>
          <w:p>
            <w:pPr>
              <w:pStyle w:val="889"/>
              <w:ind w:left="200"/>
              <w:jc w:val="left"/>
              <w:spacing w:after="0" w:line="24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  <w:r/>
          </w:p>
          <w:p>
            <w:pPr>
              <w:pStyle w:val="889"/>
              <w:ind w:left="200"/>
              <w:jc w:val="left"/>
              <w:spacing w:after="0" w:line="24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  <w:highlight w:val="none"/>
              </w:rPr>
            </w:r>
            <w:r>
              <w:rPr>
                <w:rStyle w:val="884"/>
                <w:rFonts w:ascii="Tinos" w:hAnsi="Tinos" w:cs="Tinos"/>
                <w:b/>
                <w:bCs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347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Адрес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Типы многоквартирных до</w:t>
            </w:r>
            <w:r>
              <w:rPr>
                <w:rStyle w:val="884"/>
                <w:rFonts w:ascii="Tinos" w:hAnsi="Tinos" w:cs="Tinos"/>
                <w:b/>
                <w:bCs/>
              </w:rPr>
              <w:t xml:space="preserve">мов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61" w:type="dxa"/>
            <w:vAlign w:val="bottom"/>
            <w:vMerge w:val="restart"/>
            <w:textDirection w:val="lrTb"/>
            <w:noWrap w:val="false"/>
          </w:tcPr>
          <w:p>
            <w:pPr>
              <w:pStyle w:val="889"/>
              <w:jc w:val="center"/>
              <w:spacing w:before="300" w:after="0" w:line="230" w:lineRule="exact"/>
              <w:shd w:val="clear" w:color="auto" w:fill="auto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Размер</w:t>
            </w:r>
            <w:r>
              <w:rPr>
                <w:b/>
                <w:bCs/>
              </w:rPr>
            </w:r>
            <w:r/>
          </w:p>
          <w:p>
            <w:pPr>
              <w:pStyle w:val="889"/>
              <w:jc w:val="center"/>
              <w:spacing w:after="0" w:line="230" w:lineRule="exact"/>
              <w:shd w:val="clear" w:color="auto" w:fill="auto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платы</w:t>
            </w:r>
            <w:r>
              <w:rPr>
                <w:b/>
                <w:bCs/>
              </w:rPr>
            </w:r>
            <w:r/>
          </w:p>
          <w:p>
            <w:pPr>
              <w:pStyle w:val="889"/>
              <w:jc w:val="center"/>
              <w:spacing w:after="0" w:line="230" w:lineRule="exact"/>
              <w:shd w:val="clear" w:color="auto" w:fill="auto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ВСЕГО,</w:t>
            </w:r>
            <w:r>
              <w:rPr>
                <w:b/>
                <w:bCs/>
              </w:rPr>
            </w:r>
            <w:r/>
          </w:p>
          <w:p>
            <w:pPr>
              <w:pStyle w:val="889"/>
              <w:jc w:val="center"/>
              <w:spacing w:after="600" w:line="230" w:lineRule="exact"/>
              <w:shd w:val="clear" w:color="auto" w:fill="auto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руб/м2</w:t>
            </w:r>
            <w:r>
              <w:rPr>
                <w:b/>
                <w:bCs/>
              </w:rPr>
            </w:r>
            <w:r/>
          </w:p>
          <w:p>
            <w:pPr>
              <w:pStyle w:val="889"/>
              <w:jc w:val="center"/>
              <w:spacing w:before="600" w:after="0" w:line="16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Fonts w:ascii="Tinos" w:hAnsi="Tinos" w:cs="Tinos"/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69" w:type="dxa"/>
            <w:vAlign w:val="bottom"/>
            <w:textDirection w:val="lrTb"/>
            <w:noWrap w:val="false"/>
          </w:tcPr>
          <w:p>
            <w:pPr>
              <w:pStyle w:val="889"/>
              <w:ind w:left="20"/>
              <w:spacing w:after="0" w:line="200" w:lineRule="exact"/>
              <w:shd w:val="clear" w:color="auto" w:fill="auto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Экономически обоснованный размер платы за содержание жилого помещения</w:t>
            </w:r>
            <w:r>
              <w:rPr>
                <w:b/>
                <w:bCs/>
              </w:rPr>
            </w:r>
            <w:r/>
          </w:p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b/>
                <w:bCs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b/>
                <w:bCs/>
              </w:rPr>
              <w:t xml:space="preserve">в т.ч. (руб./м2)</w:t>
            </w:r>
            <w:r>
              <w:rPr>
                <w:b/>
                <w:bCs/>
              </w:rPr>
            </w:r>
            <w:r/>
          </w:p>
        </w:tc>
      </w:tr>
      <w:tr>
        <w:trPr>
          <w:jc w:val="center"/>
          <w:trHeight w:val="1411"/>
        </w:trPr>
        <w:tc>
          <w:tcPr>
            <w:shd w:val="clear" w:color="ffffff" w:fill="ffffff"/>
            <w:tcBorders>
              <w:left w:val="single" w:color="000000" w:sz="4" w:space="0"/>
            </w:tcBorders>
            <w:tcW w:w="624" w:type="dxa"/>
            <w:vAlign w:val="bottom"/>
            <w:vMerge w:val="continue"/>
            <w:textDirection w:val="lrTb"/>
            <w:noWrap w:val="false"/>
          </w:tcPr>
          <w:p>
            <w:pPr>
              <w:framePr w:w="15144" w:wrap="notBeside" w:vAnchor="page" w:hAnchor="page" w:x="1012" w:y="4393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2347" w:type="dxa"/>
            <w:vAlign w:val="center"/>
            <w:vMerge w:val="continue"/>
            <w:textDirection w:val="lrTb"/>
            <w:noWrap w:val="false"/>
          </w:tcPr>
          <w:p>
            <w:pPr>
              <w:framePr w:w="15144" w:wrap="notBeside" w:vAnchor="page" w:hAnchor="page" w:x="1012" w:y="4393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3543" w:type="dxa"/>
            <w:vAlign w:val="center"/>
            <w:vMerge w:val="continue"/>
            <w:textDirection w:val="lrTb"/>
            <w:noWrap w:val="false"/>
          </w:tcPr>
          <w:p>
            <w:pPr>
              <w:framePr w:w="15144" w:wrap="notBeside" w:vAnchor="page" w:hAnchor="page" w:x="1012" w:y="4393"/>
            </w:pPr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1061" w:type="dxa"/>
            <w:vAlign w:val="bottom"/>
            <w:vMerge w:val="continue"/>
            <w:textDirection w:val="lrTb"/>
            <w:noWrap w:val="false"/>
          </w:tcPr>
          <w:p>
            <w:pPr>
              <w:framePr w:w="15144" w:wrap="notBeside" w:vAnchor="page" w:hAnchor="page" w:x="1012" w:y="4393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10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b/>
                <w:bCs/>
              </w:rPr>
              <w:t xml:space="preserve">Текущий ремонт конструктивных элементов жилых домов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b/>
                <w:bCs/>
              </w:rPr>
              <w:t xml:space="preserve">Ремонт </w:t>
              <w:br/>
              <w:t xml:space="preserve">и техническое обслуживание внутридомового инженерного оборудования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690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b/>
                <w:bCs/>
              </w:rPr>
              <w:t xml:space="preserve">   Аварийно-     </w:t>
            </w:r>
            <w:r>
              <w:rPr>
                <w:b/>
                <w:bCs/>
              </w:rPr>
              <w:t xml:space="preserve">диспетчерское</w:t>
            </w:r>
            <w:r>
              <w:rPr>
                <w:b/>
                <w:bCs/>
              </w:rPr>
            </w:r>
            <w:r/>
          </w:p>
          <w:p>
            <w:pPr>
              <w:pStyle w:val="700"/>
              <w:jc w:val="center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b/>
                <w:bCs/>
              </w:rPr>
              <w:t xml:space="preserve">обслуживание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5" w:type="dxa"/>
            <w:vAlign w:val="top"/>
            <w:textDirection w:val="lrTb"/>
            <w:noWrap w:val="false"/>
          </w:tcPr>
          <w:p>
            <w:pPr>
              <w:pStyle w:val="700"/>
              <w:jc w:val="center"/>
              <w:rPr>
                <w:b/>
                <w:bCs/>
              </w:rPr>
              <w:framePr w:w="15144" w:wrap="notBeside" w:vAnchor="page" w:hAnchor="page" w:x="1012" w:y="4393"/>
            </w:pPr>
            <w:r>
              <w:rPr>
                <w:b/>
                <w:bCs/>
              </w:rPr>
              <w:t xml:space="preserve">Благоустройство </w:t>
              <w:br/>
              <w:t xml:space="preserve">и обеспечение санитарного состояния общего имущества </w:t>
              <w:br/>
              <w:t xml:space="preserve">в МКД и придомовой территории </w:t>
            </w:r>
            <w:r>
              <w:rPr>
                <w:b/>
                <w:bCs/>
              </w:rPr>
            </w:r>
            <w:r/>
          </w:p>
        </w:tc>
      </w:tr>
      <w:tr>
        <w:trPr>
          <w:jc w:val="center"/>
          <w:trHeight w:val="1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34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354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96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889"/>
              <w:ind w:left="200"/>
              <w:spacing w:before="60" w:after="0" w:line="200" w:lineRule="exact"/>
              <w:shd w:val="clear" w:color="auto" w:fill="auto"/>
              <w:rPr>
                <w:rFonts w:ascii="Tinos" w:hAnsi="Tinos" w:cs="Tinos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</w:rPr>
              <w:t xml:space="preserve">1</w:t>
            </w:r>
            <w:r>
              <w:rPr>
                <w:rFonts w:ascii="Tinos" w:hAnsi="Tinos" w:cs="Tino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89"/>
              <w:ind w:left="120"/>
              <w:spacing w:before="60" w:after="0" w:line="230" w:lineRule="exact"/>
              <w:shd w:val="clear" w:color="auto" w:fill="auto"/>
              <w:rPr>
                <w:rFonts w:ascii="Tinos" w:hAnsi="Tinos" w:cs="Tinos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2"/>
                <w:szCs w:val="22"/>
              </w:rPr>
            </w:r>
            <w:r>
              <w:rPr>
                <w:rStyle w:val="884"/>
                <w:rFonts w:ascii="Tinos" w:hAnsi="Tinos" w:cs="Tinos"/>
                <w:sz w:val="22"/>
                <w:szCs w:val="22"/>
              </w:rPr>
              <w:t xml:space="preserve">с. Беловско</w:t>
            </w:r>
            <w:r>
              <w:rPr>
                <w:rStyle w:val="883"/>
                <w:rFonts w:ascii="Tinos" w:hAnsi="Tinos" w:cs="Tinos"/>
                <w:b w:val="0"/>
                <w:bCs w:val="0"/>
              </w:rPr>
              <w:t xml:space="preserve">е</w:t>
            </w:r>
            <w:r>
              <w:rPr>
                <w:rStyle w:val="884"/>
                <w:rFonts w:ascii="Tinos" w:hAnsi="Tinos" w:cs="Tinos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884"/>
                <w:rFonts w:ascii="Tinos" w:hAnsi="Tinos" w:cs="Tinos"/>
                <w:sz w:val="22"/>
                <w:szCs w:val="22"/>
              </w:rPr>
              <w:br/>
              <w:t xml:space="preserve">ул. Центральная, дома </w:t>
              <w:br/>
              <w:t xml:space="preserve">№№   25, 27</w:t>
            </w:r>
            <w:r>
              <w:rPr>
                <w:rFonts w:ascii="Tinos" w:hAnsi="Tinos" w:cs="Tinos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централизованным холодным водоснабжением,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отоплением, водоотведением,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электро- и газоснабжением, без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централизованного горячего водоснабжения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61" w:type="dxa"/>
            <w:textDirection w:val="lrTb"/>
            <w:noWrap w:val="false"/>
          </w:tcPr>
          <w:p>
            <w:pPr>
              <w:pStyle w:val="889"/>
              <w:jc w:val="center"/>
              <w:spacing w:after="0" w:line="240" w:lineRule="exact"/>
              <w:shd w:val="clear" w:color="auto" w:fill="auto"/>
              <w:framePr w:w="15144" w:wrap="notBeside" w:vAnchor="page" w:hAnchor="page" w:x="1012" w:y="4393"/>
            </w:pPr>
            <w:r>
              <w:rPr>
                <w:rStyle w:val="887"/>
                <w:rFonts w:ascii="Tinos" w:hAnsi="Tinos" w:cs="Tinos"/>
                <w:b/>
                <w:bCs/>
                <w:highlight w:val="none"/>
              </w:rPr>
            </w:r>
            <w:r>
              <w:rPr>
                <w:rFonts w:ascii="Tinos" w:hAnsi="Tinos" w:cs="Tinos"/>
                <w:b/>
                <w:bCs/>
              </w:rPr>
            </w:r>
            <w:r/>
          </w:p>
          <w:p>
            <w:pPr>
              <w:pStyle w:val="889"/>
              <w:jc w:val="center"/>
              <w:spacing w:after="0" w:line="240" w:lineRule="exact"/>
              <w:shd w:val="clear" w:color="auto" w:fill="auto"/>
              <w:rPr>
                <w:rFonts w:ascii="Tinos" w:hAnsi="Tinos" w:cs="Tinos"/>
                <w:highlight w:val="none"/>
              </w:rPr>
              <w:framePr w:w="15144" w:wrap="notBeside" w:vAnchor="page" w:hAnchor="page" w:x="1012" w:y="4393"/>
            </w:pPr>
            <w:r>
              <w:rPr>
                <w:rStyle w:val="887"/>
                <w:rFonts w:ascii="Tinos" w:hAnsi="Tinos" w:cs="Tinos"/>
                <w:b/>
                <w:bCs/>
              </w:rPr>
              <w:t xml:space="preserve">16,72</w:t>
            </w:r>
            <w:r>
              <w:rPr>
                <w:rStyle w:val="887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889"/>
              <w:jc w:val="center"/>
              <w:spacing w:after="0" w:line="200" w:lineRule="exact"/>
              <w:shd w:val="clear" w:color="auto" w:fill="auto"/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highlight w:val="none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</w:rPr>
              <w:t xml:space="preserve">2,98</w:t>
            </w:r>
            <w:r>
              <w:rPr>
                <w:rStyle w:val="88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94" w:type="dxa"/>
            <w:textDirection w:val="lrTb"/>
            <w:noWrap w:val="false"/>
          </w:tcPr>
          <w:p>
            <w:pPr>
              <w:pStyle w:val="889"/>
              <w:jc w:val="center"/>
              <w:spacing w:after="0" w:line="200" w:lineRule="exact"/>
              <w:shd w:val="clear" w:color="auto" w:fill="auto"/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highlight w:val="none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</w:rPr>
              <w:t xml:space="preserve">5,71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90" w:type="dxa"/>
            <w:textDirection w:val="lrTb"/>
            <w:noWrap w:val="false"/>
          </w:tcPr>
          <w:p>
            <w:pPr>
              <w:pStyle w:val="889"/>
              <w:jc w:val="center"/>
              <w:spacing w:after="0" w:line="200" w:lineRule="exact"/>
              <w:shd w:val="clear" w:color="auto" w:fill="auto"/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highlight w:val="none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5" w:type="dxa"/>
            <w:textDirection w:val="lrTb"/>
            <w:noWrap w:val="false"/>
          </w:tcPr>
          <w:p>
            <w:pPr>
              <w:pStyle w:val="889"/>
              <w:jc w:val="center"/>
              <w:spacing w:after="0" w:line="200" w:lineRule="exact"/>
              <w:shd w:val="clear" w:color="auto" w:fill="auto"/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/>
          </w:p>
          <w:p>
            <w:pPr>
              <w:pStyle w:val="889"/>
              <w:jc w:val="center"/>
              <w:spacing w:after="0" w:line="200" w:lineRule="exact"/>
              <w:shd w:val="clear" w:color="auto" w:fill="auto"/>
              <w:rPr>
                <w:rFonts w:ascii="Tinos" w:hAnsi="Tinos" w:cs="Tinos"/>
                <w:highlight w:val="none"/>
              </w:rPr>
              <w:framePr w:w="15144" w:wrap="notBeside" w:vAnchor="page" w:hAnchor="page" w:x="1012" w:y="4393"/>
            </w:pPr>
            <w:r>
              <w:rPr>
                <w:rStyle w:val="884"/>
                <w:rFonts w:ascii="Tinos" w:hAnsi="Tinos" w:cs="Tinos"/>
                <w:sz w:val="24"/>
                <w:szCs w:val="24"/>
              </w:rPr>
              <w:t xml:space="preserve">7,22</w:t>
            </w:r>
            <w:r/>
          </w:p>
        </w:tc>
      </w:tr>
    </w:tbl>
    <w:p>
      <w:pPr>
        <w:pStyle w:val="889"/>
        <w:ind w:left="142" w:right="780" w:firstLine="0"/>
        <w:jc w:val="center"/>
        <w:spacing w:after="0"/>
        <w:shd w:val="clear" w:color="auto" w:fill="auto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889"/>
        <w:ind w:left="142" w:right="780" w:firstLine="0"/>
        <w:jc w:val="center"/>
        <w:spacing w:after="0"/>
        <w:shd w:val="clear" w:color="auto" w:fill="auto"/>
        <w:rPr>
          <w:rStyle w:val="883"/>
          <w:rFonts w:ascii="Tinos" w:hAnsi="Tinos" w:cs="Tinos"/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pStyle w:val="889"/>
        <w:ind w:left="660" w:right="780" w:firstLine="300"/>
        <w:spacing w:after="0"/>
        <w:shd w:val="clear" w:color="auto" w:fill="auto"/>
        <w:rPr>
          <w:rStyle w:val="883"/>
          <w:rFonts w:ascii="Tinos" w:hAnsi="Tinos" w:cs="Tinos"/>
          <w:b/>
          <w:bCs/>
          <w:highlight w:val="none"/>
        </w:rPr>
      </w:pPr>
      <w:r>
        <w:rPr>
          <w:rStyle w:val="883"/>
          <w:rFonts w:ascii="Tinos" w:hAnsi="Tinos" w:cs="Tinos"/>
          <w:b/>
          <w:bCs/>
          <w:highlight w:val="none"/>
        </w:rPr>
      </w:r>
      <w:r>
        <w:rPr>
          <w:rStyle w:val="883"/>
          <w:rFonts w:ascii="Tinos" w:hAnsi="Tinos" w:cs="Tinos"/>
          <w:b/>
          <w:bCs/>
          <w:highlight w:val="none"/>
        </w:rPr>
      </w:r>
      <w:r/>
    </w:p>
    <w:p>
      <w:r>
        <w:rPr>
          <w:rFonts w:ascii="Tinos" w:hAnsi="Tinos" w:cs="Tinos"/>
          <w:sz w:val="2"/>
          <w:szCs w:val="2"/>
        </w:rPr>
      </w:r>
      <w:r>
        <w:rPr>
          <w:rFonts w:ascii="Tinos" w:hAnsi="Tinos" w:cs="Tinos"/>
          <w:sz w:val="2"/>
          <w:szCs w:val="2"/>
        </w:rPr>
      </w:r>
      <w:r/>
    </w:p>
    <w:p>
      <w:pPr>
        <w:rPr>
          <w:rFonts w:ascii="Tinos" w:hAnsi="Tinos" w:cs="Tinos"/>
        </w:rPr>
      </w:pPr>
      <w:r>
        <w:rPr>
          <w:rFonts w:ascii="Tinos" w:hAnsi="Tinos" w:cs="Tinos"/>
          <w:sz w:val="2"/>
          <w:szCs w:val="2"/>
        </w:rPr>
      </w:r>
      <w:r>
        <w:rPr>
          <w:rFonts w:ascii="Tinos" w:hAnsi="Tinos" w:cs="Tinos"/>
          <w:sz w:val="2"/>
          <w:szCs w:val="2"/>
        </w:rPr>
      </w:r>
      <w:r/>
    </w:p>
    <w:p>
      <w:pPr>
        <w:ind w:left="0" w:firstLine="0"/>
        <w:jc w:val="left"/>
        <w:rPr>
          <w:b/>
          <w:bCs/>
        </w:rPr>
      </w:pPr>
      <w:r>
        <w:rPr>
          <w:b/>
        </w:rPr>
      </w:r>
      <w:r/>
    </w:p>
    <w:sectPr>
      <w:footnotePr/>
      <w:endnotePr/>
      <w:type w:val="nextPage"/>
      <w:pgSz w:w="16838" w:h="11906" w:orient="landscape"/>
      <w:pgMar w:top="992" w:right="822" w:bottom="851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Garamond">
    <w:panose1 w:val="02020502040504020204"/>
  </w:font>
  <w:font w:name="Sylfaen">
    <w:panose1 w:val="020B0502040504020204"/>
  </w:font>
  <w:font w:name="Tinos">
    <w:panose1 w:val="02020603050405020304"/>
  </w:font>
  <w:font w:name="TimesNewRomanPSMT">
    <w:panose1 w:val="02000603000000000000"/>
  </w:font>
  <w:font w:name="Times New Roman">
    <w:panose1 w:val="02020603050405020304"/>
  </w:font>
  <w:font w:name="Arial Narrow">
    <w:panose1 w:val="020B0606020202030204"/>
  </w:font>
  <w:font w:name="TimesNewRomanPS-BoldMT">
    <w:panose1 w:val="02000603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/>
    <w:r/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9"/>
        <w:ind w:left="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1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2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3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4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5824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pStyle w:val="859"/>
        <w:ind w:left="1287" w:hanging="360"/>
        <w:tabs>
          <w:tab w:val="num" w:pos="1287" w:leader="none"/>
        </w:tabs>
      </w:pPr>
      <w:rPr>
        <w:rFonts w:ascii="Courier New" w:hAnsi="Courier New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59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59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59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59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59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59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9"/>
        <w:ind w:left="106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859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9"/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9"/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9"/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9"/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9"/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9"/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9"/>
        <w:ind w:left="2868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59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9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9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9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9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9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9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9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9"/>
        <w:ind w:left="7824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sz w:val="24"/>
      <w:szCs w:val="24"/>
      <w:lang w:val="ru-RU" w:eastAsia="ru-RU" w:bidi="ar-SA"/>
    </w:rPr>
  </w:style>
  <w:style w:type="paragraph" w:styleId="860">
    <w:name w:val="Заголовок 1"/>
    <w:basedOn w:val="859"/>
    <w:next w:val="859"/>
    <w:link w:val="859"/>
    <w:qFormat/>
    <w:pPr>
      <w:jc w:val="both"/>
      <w:keepNext/>
      <w:spacing w:line="360" w:lineRule="auto"/>
      <w:outlineLvl w:val="0"/>
    </w:pPr>
    <w:rPr>
      <w:sz w:val="28"/>
      <w:szCs w:val="20"/>
    </w:rPr>
  </w:style>
  <w:style w:type="character" w:styleId="861">
    <w:name w:val="Основной шрифт абзаца"/>
    <w:next w:val="861"/>
    <w:link w:val="859"/>
    <w:semiHidden/>
  </w:style>
  <w:style w:type="table" w:styleId="862">
    <w:name w:val="Обычная таблица"/>
    <w:next w:val="862"/>
    <w:link w:val="859"/>
    <w:semiHidden/>
    <w:tblPr/>
  </w:style>
  <w:style w:type="numbering" w:styleId="863">
    <w:name w:val="Нет списка"/>
    <w:next w:val="863"/>
    <w:link w:val="859"/>
    <w:semiHidden/>
  </w:style>
  <w:style w:type="paragraph" w:styleId="864">
    <w:name w:val="ConsPlusTitle"/>
    <w:next w:val="864"/>
    <w:link w:val="859"/>
    <w:rPr>
      <w:b/>
      <w:bCs/>
      <w:sz w:val="32"/>
      <w:szCs w:val="32"/>
      <w:lang w:val="ru-RU" w:eastAsia="ru-RU" w:bidi="ar-SA"/>
    </w:rPr>
  </w:style>
  <w:style w:type="paragraph" w:styleId="865">
    <w:name w:val="Верхний колонтитул"/>
    <w:basedOn w:val="859"/>
    <w:next w:val="865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Верхний колонтитул Знак"/>
    <w:next w:val="866"/>
    <w:link w:val="865"/>
    <w:uiPriority w:val="99"/>
    <w:rPr>
      <w:sz w:val="24"/>
      <w:szCs w:val="24"/>
    </w:rPr>
  </w:style>
  <w:style w:type="paragraph" w:styleId="867">
    <w:name w:val="Нижний колонтитул"/>
    <w:basedOn w:val="859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next w:val="868"/>
    <w:link w:val="867"/>
    <w:uiPriority w:val="99"/>
    <w:rPr>
      <w:sz w:val="24"/>
      <w:szCs w:val="24"/>
    </w:rPr>
  </w:style>
  <w:style w:type="paragraph" w:styleId="869">
    <w:name w:val="Текст выноски"/>
    <w:basedOn w:val="859"/>
    <w:next w:val="869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>
    <w:name w:val="Текст выноски Знак"/>
    <w:next w:val="870"/>
    <w:link w:val="869"/>
    <w:uiPriority w:val="99"/>
    <w:semiHidden/>
    <w:rPr>
      <w:rFonts w:ascii="Tahoma" w:hAnsi="Tahoma" w:cs="Tahoma"/>
      <w:sz w:val="16"/>
      <w:szCs w:val="16"/>
    </w:rPr>
  </w:style>
  <w:style w:type="paragraph" w:styleId="871">
    <w:name w:val="Название"/>
    <w:basedOn w:val="859"/>
    <w:next w:val="871"/>
    <w:link w:val="872"/>
    <w:qFormat/>
    <w:pPr>
      <w:jc w:val="center"/>
    </w:pPr>
    <w:rPr>
      <w:b/>
      <w:sz w:val="26"/>
      <w:szCs w:val="20"/>
      <w:lang w:val="en-US" w:eastAsia="en-US"/>
    </w:rPr>
  </w:style>
  <w:style w:type="character" w:styleId="872">
    <w:name w:val="Название Знак"/>
    <w:next w:val="872"/>
    <w:link w:val="871"/>
    <w:rPr>
      <w:b/>
      <w:sz w:val="26"/>
      <w:lang w:val="en-US" w:eastAsia="en-US"/>
    </w:rPr>
  </w:style>
  <w:style w:type="paragraph" w:styleId="873">
    <w:name w:val="Основной текст"/>
    <w:basedOn w:val="859"/>
    <w:next w:val="873"/>
    <w:link w:val="874"/>
    <w:uiPriority w:val="99"/>
    <w:semiHidden/>
    <w:unhideWhenUsed/>
    <w:pPr>
      <w:spacing w:after="120"/>
    </w:pPr>
  </w:style>
  <w:style w:type="character" w:styleId="874">
    <w:name w:val="Основной текст Знак"/>
    <w:next w:val="874"/>
    <w:link w:val="873"/>
    <w:uiPriority w:val="99"/>
    <w:semiHidden/>
    <w:rPr>
      <w:sz w:val="24"/>
      <w:szCs w:val="24"/>
    </w:rPr>
  </w:style>
  <w:style w:type="character" w:styleId="875">
    <w:name w:val="fontstyle01"/>
    <w:next w:val="875"/>
    <w:link w:val="859"/>
    <w:rPr>
      <w:rFonts w:ascii="TimesNewRomanPS-BoldMT" w:hAnsi="TimesNewRomanPS-BoldMT"/>
      <w:b/>
      <w:bCs/>
      <w:color w:val="000000"/>
      <w:sz w:val="24"/>
      <w:szCs w:val="24"/>
    </w:rPr>
  </w:style>
  <w:style w:type="character" w:styleId="876">
    <w:name w:val="fontstyle21"/>
    <w:next w:val="876"/>
    <w:link w:val="859"/>
    <w:rPr>
      <w:rFonts w:ascii="TimesNewRomanPSMT" w:hAnsi="TimesNewRomanPSMT"/>
      <w:color w:val="000000"/>
      <w:sz w:val="24"/>
      <w:szCs w:val="24"/>
    </w:rPr>
  </w:style>
  <w:style w:type="character" w:styleId="877">
    <w:name w:val="Гиперссылка"/>
    <w:next w:val="877"/>
    <w:link w:val="859"/>
    <w:uiPriority w:val="99"/>
    <w:rPr>
      <w:color w:val="0000ff"/>
      <w:u w:val="single"/>
    </w:rPr>
  </w:style>
  <w:style w:type="paragraph" w:styleId="878">
    <w:name w:val="Default"/>
    <w:next w:val="878"/>
    <w:link w:val="859"/>
    <w:rPr>
      <w:color w:val="000000"/>
      <w:sz w:val="24"/>
      <w:szCs w:val="24"/>
      <w:lang w:val="ru-RU" w:eastAsia="ru-RU" w:bidi="ar-SA"/>
    </w:rPr>
  </w:style>
  <w:style w:type="table" w:styleId="879">
    <w:name w:val="Сетка таблицы"/>
    <w:basedOn w:val="862"/>
    <w:next w:val="879"/>
    <w:link w:val="859"/>
    <w:uiPriority w:val="59"/>
    <w:tblPr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  <w:style w:type="character" w:styleId="883" w:customStyle="1">
    <w:name w:val="Основной текст1"/>
    <w:basedOn w:val="722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84" w:customStyle="1">
    <w:name w:val="Основной текст + 10 pt"/>
    <w:basedOn w:val="722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styleId="885" w:customStyle="1">
    <w:name w:val="Основной текст + Arial Narrow;8 pt;Курсив"/>
    <w:basedOn w:val="722"/>
    <w:rPr>
      <w:rFonts w:ascii="Arial Narrow" w:hAnsi="Arial Narrow" w:eastAsia="Arial Narrow" w:cs="Arial Narrow"/>
      <w:b w:val="0"/>
      <w:bCs w:val="0"/>
      <w:i/>
      <w:iCs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styleId="886" w:customStyle="1">
    <w:name w:val="Основной текст + Garamond;6 pt;Полужирный"/>
    <w:basedOn w:val="722"/>
    <w:rPr>
      <w:rFonts w:ascii="Garamond" w:hAnsi="Garamond" w:eastAsia="Garamond" w:cs="Garamond"/>
      <w:b/>
      <w:bCs/>
      <w:i w:val="0"/>
      <w:iCs w:val="0"/>
      <w:smallCaps w:val="0"/>
      <w:strike w:val="0"/>
      <w:color w:val="000000"/>
      <w:spacing w:val="0"/>
      <w:position w:val="0"/>
      <w:sz w:val="12"/>
      <w:szCs w:val="12"/>
      <w:u w:val="none"/>
      <w:lang w:val="ru-RU" w:eastAsia="ru-RU" w:bidi="ru-RU"/>
    </w:rPr>
  </w:style>
  <w:style w:type="character" w:styleId="887" w:customStyle="1">
    <w:name w:val="Основной текст2"/>
    <w:basedOn w:val="722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88" w:customStyle="1">
    <w:name w:val="Основной текст3"/>
    <w:basedOn w:val="722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889" w:customStyle="1">
    <w:name w:val="Основной текст4"/>
    <w:basedOn w:val="717"/>
    <w:link w:val="7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780" w:afterAutospacing="0" w:line="25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ylfaen" w:hAnsi="Sylfaen" w:eastAsia="Sylfaen" w:cs="Sylfae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free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revision>103</cp:revision>
  <dcterms:created xsi:type="dcterms:W3CDTF">2021-10-15T06:12:00Z</dcterms:created>
  <dcterms:modified xsi:type="dcterms:W3CDTF">2024-09-11T08:12:24Z</dcterms:modified>
  <cp:version>983040</cp:version>
</cp:coreProperties>
</file>