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</w:t>
      </w:r>
      <w:r>
        <w:rPr>
          <w:rFonts w:ascii="Times New Roman" w:hAnsi="Times New Roman"/>
          <w:b/>
          <w:bCs/>
          <w:sz w:val="24"/>
          <w:szCs w:val="24"/>
        </w:rPr>
        <w:t xml:space="preserve">ЗВЕЩЕНИЕ </w:t>
      </w:r>
      <w:r>
        <w:rPr>
          <w:rFonts w:ascii="Times New Roman" w:hAnsi="Times New Roman"/>
          <w:b/>
          <w:bCs/>
          <w:sz w:val="24"/>
          <w:szCs w:val="24"/>
        </w:rPr>
        <w:t xml:space="preserve">№ КД-</w:t>
      </w:r>
      <w:r>
        <w:rPr>
          <w:rFonts w:ascii="Times New Roman" w:hAnsi="Times New Roman"/>
          <w:b/>
          <w:bCs/>
          <w:sz w:val="24"/>
          <w:szCs w:val="24"/>
        </w:rPr>
        <w:t xml:space="preserve">5</w:t>
      </w:r>
      <w:r>
        <w:rPr>
          <w:rFonts w:ascii="Times New Roman" w:hAnsi="Times New Roman"/>
          <w:b/>
          <w:bCs/>
          <w:sz w:val="24"/>
          <w:szCs w:val="24"/>
        </w:rPr>
        <w:t xml:space="preserve">9</w:t>
      </w:r>
      <w:r>
        <w:rPr>
          <w:rFonts w:ascii="Times New Roman" w:hAnsi="Times New Roman"/>
          <w:b/>
          <w:bCs/>
          <w:sz w:val="24"/>
          <w:szCs w:val="24"/>
        </w:rPr>
        <w:t xml:space="preserve">/20</w:t>
      </w:r>
      <w:r>
        <w:rPr>
          <w:rFonts w:ascii="Times New Roman" w:hAnsi="Times New Roman"/>
          <w:b/>
          <w:bCs/>
          <w:sz w:val="24"/>
          <w:szCs w:val="24"/>
        </w:rPr>
        <w:t xml:space="preserve">2</w:t>
      </w:r>
      <w:r>
        <w:rPr>
          <w:rFonts w:ascii="Times New Roman" w:hAnsi="Times New Roman"/>
          <w:b/>
          <w:bCs/>
          <w:sz w:val="24"/>
          <w:szCs w:val="24"/>
        </w:rPr>
        <w:t xml:space="preserve">5</w:t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ПРОВЕДЕНИИ ОТКРЫТОГО КОНКУРСА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отбору управляющ</w:t>
      </w:r>
      <w:r>
        <w:rPr>
          <w:rFonts w:ascii="Times New Roman" w:hAnsi="Times New Roman"/>
          <w:b/>
          <w:bCs/>
          <w:sz w:val="28"/>
          <w:szCs w:val="28"/>
        </w:rPr>
        <w:t xml:space="preserve">ей</w:t>
      </w:r>
      <w:r>
        <w:rPr>
          <w:rFonts w:ascii="Times New Roman" w:hAnsi="Times New Roman"/>
          <w:b/>
          <w:bCs/>
          <w:sz w:val="28"/>
          <w:szCs w:val="28"/>
        </w:rPr>
        <w:t xml:space="preserve"> организаци</w:t>
      </w:r>
      <w:r>
        <w:rPr>
          <w:rFonts w:ascii="Times New Roman" w:hAnsi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/>
          <w:b/>
          <w:bCs/>
          <w:sz w:val="28"/>
          <w:szCs w:val="28"/>
        </w:rPr>
        <w:t xml:space="preserve"> для управления многоквартирным</w:t>
      </w:r>
      <w:r>
        <w:rPr>
          <w:rFonts w:ascii="Times New Roman" w:hAnsi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/>
          <w:b/>
          <w:bCs/>
          <w:sz w:val="28"/>
          <w:szCs w:val="28"/>
        </w:rPr>
        <w:t xml:space="preserve"> дом</w:t>
      </w:r>
      <w:r>
        <w:rPr>
          <w:rFonts w:ascii="Times New Roman" w:hAnsi="Times New Roman"/>
          <w:b/>
          <w:bCs/>
          <w:sz w:val="28"/>
          <w:szCs w:val="28"/>
        </w:rPr>
        <w:t xml:space="preserve">ами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«Белгородский район» Белгородской области</w:t>
      </w:r>
      <w:r/>
    </w:p>
    <w:p>
      <w:pPr>
        <w:ind w:firstLine="547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547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ind w:firstLine="54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Основание проведения конкурса и нормативные правовые акты, на основании которых проводится конкурс:</w:t>
      </w:r>
      <w:r/>
    </w:p>
    <w:p>
      <w:pPr>
        <w:ind w:firstLine="54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тать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161 Жилищного кодекса Российской Федерации,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остановление Правительства Российской Федерации</w:t>
      </w:r>
      <w:r>
        <w:rPr>
          <w:rFonts w:ascii="Times New Roman" w:hAnsi="Times New Roman"/>
          <w:sz w:val="24"/>
          <w:szCs w:val="24"/>
        </w:rPr>
        <w:t xml:space="preserve"> от 06.02.2006 № </w:t>
      </w:r>
      <w:r>
        <w:rPr>
          <w:rFonts w:ascii="Times New Roman" w:hAnsi="Times New Roman"/>
          <w:sz w:val="24"/>
          <w:szCs w:val="24"/>
        </w:rPr>
        <w:t xml:space="preserve">75 «О </w:t>
      </w:r>
      <w:r>
        <w:rPr>
          <w:rFonts w:ascii="Times New Roman" w:hAnsi="Times New Roman"/>
          <w:sz w:val="24"/>
          <w:szCs w:val="24"/>
        </w:rPr>
        <w:t xml:space="preserve">порядке проведения органами местного самоуправления открытого конкурса по отбору управляющей организации для управления многоквартирным домом».</w:t>
      </w:r>
      <w:r/>
    </w:p>
    <w:p>
      <w:pPr>
        <w:ind w:firstLine="547"/>
        <w:jc w:val="both"/>
        <w:spacing w:before="100" w:beforeAutospacing="1" w:after="0" w:line="12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Наименование, место нахождения, почтовый адрес и адрес электронной почты, номер телефона организатора конкурса:</w:t>
      </w:r>
      <w:r/>
    </w:p>
    <w:p>
      <w:pPr>
        <w:ind w:firstLine="544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Белгородского района в лице комитета ЖКХ, транспорта и инженерной инфраструктуры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Белгородского района, расположенная по адресу: 308007 Белгородская область, г. Белгород, ул. Шершнева, д.1а</w:t>
      </w:r>
      <w:r>
        <w:rPr>
          <w:rFonts w:ascii="Times New Roman" w:hAnsi="Times New Roman"/>
          <w:spacing w:val="36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тел. (4722) 26-</w:t>
      </w:r>
      <w:r>
        <w:rPr>
          <w:rFonts w:ascii="Times New Roman" w:hAnsi="Times New Roman"/>
          <w:sz w:val="24"/>
          <w:szCs w:val="24"/>
        </w:rPr>
        <w:t xml:space="preserve">06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24</w:t>
      </w:r>
      <w:r>
        <w:rPr>
          <w:rFonts w:ascii="Times New Roman" w:hAnsi="Times New Roman"/>
          <w:sz w:val="24"/>
          <w:szCs w:val="24"/>
        </w:rPr>
        <w:t xml:space="preserve">, 34-60-01</w:t>
      </w:r>
      <w:r/>
    </w:p>
    <w:p>
      <w:pPr>
        <w:ind w:firstLine="544"/>
        <w:jc w:val="both"/>
        <w:spacing w:after="0" w:line="240" w:lineRule="auto"/>
        <w:rPr>
          <w:color w:val="0000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адрес </w:t>
      </w:r>
      <w:r>
        <w:rPr>
          <w:rFonts w:ascii="Times New Roman" w:hAnsi="Times New Roman"/>
          <w:color w:val="000000"/>
          <w:sz w:val="24"/>
          <w:szCs w:val="24"/>
        </w:rPr>
        <w:t xml:space="preserve">официального </w:t>
      </w:r>
      <w:r>
        <w:rPr>
          <w:rFonts w:ascii="Times New Roman" w:hAnsi="Times New Roman"/>
          <w:color w:val="000000"/>
          <w:sz w:val="24"/>
          <w:szCs w:val="24"/>
        </w:rPr>
        <w:t xml:space="preserve">сайта </w:t>
      </w:r>
      <w:r>
        <w:rPr>
          <w:rFonts w:ascii="Times New Roman" w:hAnsi="Times New Roman"/>
          <w:sz w:val="24"/>
          <w:szCs w:val="24"/>
        </w:rPr>
        <w:t xml:space="preserve">органов местного самоуправления «Белгородский район» Белгородской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 </w:t>
      </w:r>
      <w:hyperlink r:id="rId10" w:tooltip="https://belgorodskij-r31.gosuslugi.ru" w:history="1">
        <w:r>
          <w:rPr>
            <w:rStyle w:val="659"/>
            <w:rFonts w:ascii="Times New Roman" w:hAnsi="Times New Roman"/>
            <w:b/>
            <w:sz w:val="24"/>
            <w:szCs w:val="24"/>
            <w:u w:val="none"/>
            <w:lang w:val="en-US"/>
          </w:rPr>
          <w:t xml:space="preserve">https</w:t>
        </w:r>
        <w:r>
          <w:rPr>
            <w:rStyle w:val="659"/>
            <w:rFonts w:ascii="Times New Roman" w:hAnsi="Times New Roman"/>
            <w:b/>
            <w:sz w:val="24"/>
            <w:szCs w:val="24"/>
            <w:u w:val="none"/>
          </w:rPr>
          <w:t xml:space="preserve">://</w:t>
        </w:r>
        <w:r>
          <w:rPr>
            <w:rStyle w:val="659"/>
            <w:rFonts w:ascii="Times New Roman" w:hAnsi="Times New Roman"/>
            <w:b/>
            <w:sz w:val="24"/>
            <w:szCs w:val="24"/>
            <w:u w:val="none"/>
            <w:lang w:val="en-US"/>
          </w:rPr>
          <w:t xml:space="preserve">belgorodskij</w:t>
        </w:r>
        <w:r>
          <w:rPr>
            <w:rStyle w:val="659"/>
            <w:rFonts w:ascii="Times New Roman" w:hAnsi="Times New Roman"/>
            <w:b/>
            <w:sz w:val="24"/>
            <w:szCs w:val="24"/>
            <w:u w:val="none"/>
          </w:rPr>
          <w:t xml:space="preserve">-</w:t>
        </w:r>
        <w:r>
          <w:rPr>
            <w:rStyle w:val="659"/>
            <w:rFonts w:ascii="Times New Roman" w:hAnsi="Times New Roman"/>
            <w:b/>
            <w:sz w:val="24"/>
            <w:szCs w:val="24"/>
            <w:u w:val="none"/>
            <w:lang w:val="en-US"/>
          </w:rPr>
          <w:t xml:space="preserve">r</w:t>
        </w:r>
        <w:r>
          <w:rPr>
            <w:rStyle w:val="659"/>
            <w:rFonts w:ascii="Times New Roman" w:hAnsi="Times New Roman"/>
            <w:b/>
            <w:sz w:val="24"/>
            <w:szCs w:val="24"/>
            <w:u w:val="none"/>
          </w:rPr>
          <w:t xml:space="preserve">31.</w:t>
        </w:r>
        <w:r>
          <w:rPr>
            <w:rStyle w:val="659"/>
            <w:rFonts w:ascii="Times New Roman" w:hAnsi="Times New Roman"/>
            <w:b/>
            <w:sz w:val="24"/>
            <w:szCs w:val="24"/>
            <w:u w:val="none"/>
            <w:lang w:val="en-US"/>
          </w:rPr>
          <w:t xml:space="preserve">gosuslugi</w:t>
        </w:r>
        <w:r>
          <w:rPr>
            <w:rStyle w:val="659"/>
            <w:rFonts w:ascii="Times New Roman" w:hAnsi="Times New Roman"/>
            <w:b/>
            <w:sz w:val="24"/>
            <w:szCs w:val="24"/>
            <w:u w:val="none"/>
          </w:rPr>
          <w:t xml:space="preserve">.</w:t>
        </w:r>
        <w:r>
          <w:rPr>
            <w:rStyle w:val="659"/>
            <w:rFonts w:ascii="Times New Roman" w:hAnsi="Times New Roman"/>
            <w:b/>
            <w:sz w:val="24"/>
            <w:szCs w:val="24"/>
            <w:u w:val="none"/>
            <w:lang w:val="en-US"/>
          </w:rPr>
          <w:t xml:space="preserve">ru</w:t>
        </w:r>
      </w:hyperlink>
      <w:r>
        <w:rPr>
          <w:rStyle w:val="659"/>
          <w:rFonts w:ascii="Times New Roman" w:hAnsi="Times New Roman"/>
          <w:b/>
          <w:sz w:val="24"/>
          <w:szCs w:val="24"/>
          <w:u w:val="none"/>
        </w:rPr>
        <w:t xml:space="preserve">,</w:t>
      </w:r>
      <w:r>
        <w:rPr>
          <w:rStyle w:val="659"/>
          <w:rFonts w:ascii="Times New Roman" w:hAnsi="Times New Roman"/>
          <w:b/>
          <w:sz w:val="24"/>
          <w:szCs w:val="24"/>
          <w:u w:val="none"/>
        </w:rPr>
        <w:t xml:space="preserve"> </w:t>
      </w:r>
      <w:r>
        <w:rPr>
          <w:rStyle w:val="659"/>
          <w:u w:val="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электронной почты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/>
          <w:color w:val="0000ff"/>
          <w:lang w:val="en-US"/>
        </w:rPr>
        <w:t xml:space="preserve">belrn</w:t>
      </w:r>
      <w:r>
        <w:rPr>
          <w:rFonts w:ascii="Times New Roman" w:hAnsi="Times New Roman"/>
          <w:b/>
          <w:color w:val="0000ff"/>
        </w:rPr>
        <w:t xml:space="preserve">_</w:t>
      </w:r>
      <w:r>
        <w:rPr>
          <w:rFonts w:ascii="Times New Roman" w:hAnsi="Times New Roman"/>
          <w:b/>
          <w:color w:val="0000ff"/>
          <w:lang w:val="en-US"/>
        </w:rPr>
        <w:t xml:space="preserve">gkh</w:t>
      </w:r>
      <w:r>
        <w:rPr>
          <w:rFonts w:ascii="Times New Roman" w:hAnsi="Times New Roman"/>
          <w:b/>
          <w:color w:val="0000ff"/>
        </w:rPr>
        <w:t xml:space="preserve">@</w:t>
      </w:r>
      <w:r>
        <w:rPr>
          <w:rFonts w:ascii="Times New Roman" w:hAnsi="Times New Roman"/>
          <w:b/>
          <w:color w:val="0000ff"/>
          <w:lang w:val="en-US"/>
        </w:rPr>
        <w:t xml:space="preserve">mail</w:t>
      </w:r>
      <w:r>
        <w:rPr>
          <w:rFonts w:ascii="Times New Roman" w:hAnsi="Times New Roman"/>
          <w:b/>
          <w:color w:val="0000ff"/>
        </w:rPr>
        <w:t xml:space="preserve">.</w:t>
      </w:r>
      <w:r>
        <w:rPr>
          <w:rFonts w:ascii="Times New Roman" w:hAnsi="Times New Roman"/>
          <w:b/>
          <w:color w:val="0000ff"/>
          <w:lang w:val="en-US"/>
        </w:rPr>
        <w:t xml:space="preserve">ru</w:t>
      </w:r>
      <w:r/>
    </w:p>
    <w:p>
      <w:pPr>
        <w:ind w:firstLine="544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Контактное лицо: </w:t>
      </w:r>
      <w:r>
        <w:rPr>
          <w:rFonts w:ascii="Times New Roman" w:hAnsi="Times New Roman"/>
          <w:color w:val="000000"/>
          <w:sz w:val="24"/>
          <w:szCs w:val="24"/>
        </w:rPr>
        <w:t xml:space="preserve">Сунно Татьяна Николаевна</w:t>
      </w:r>
      <w:r>
        <w:rPr>
          <w:rFonts w:ascii="Times New Roman" w:hAnsi="Times New Roman"/>
          <w:color w:val="000000"/>
          <w:sz w:val="24"/>
          <w:szCs w:val="24"/>
        </w:rPr>
        <w:t xml:space="preserve">, (4722) </w:t>
      </w:r>
      <w:r>
        <w:rPr>
          <w:rFonts w:ascii="Times New Roman" w:hAnsi="Times New Roman"/>
          <w:color w:val="000000"/>
          <w:sz w:val="24"/>
          <w:szCs w:val="24"/>
        </w:rPr>
        <w:t xml:space="preserve">34-60-01</w:t>
      </w:r>
      <w:r/>
    </w:p>
    <w:p>
      <w:pPr>
        <w:ind w:firstLine="547"/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3. Многоквартирные дома, являющиеся предметом конкурса:</w:t>
      </w:r>
      <w:r/>
    </w:p>
    <w:p>
      <w:pPr>
        <w:ind w:firstLine="547"/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tbl>
      <w:tblPr>
        <w:tblW w:w="15740" w:type="dxa"/>
        <w:tblCellSpacing w:w="0" w:type="dxa"/>
        <w:tblInd w:w="-3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Layout w:type="fixed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681"/>
        <w:gridCol w:w="2297"/>
        <w:gridCol w:w="1291"/>
        <w:gridCol w:w="1275"/>
        <w:gridCol w:w="1119"/>
        <w:gridCol w:w="1418"/>
        <w:gridCol w:w="1403"/>
        <w:gridCol w:w="1305"/>
        <w:gridCol w:w="1686"/>
        <w:gridCol w:w="1706"/>
        <w:gridCol w:w="1559"/>
      </w:tblGrid>
      <w:tr>
        <w:trPr>
          <w:cantSplit/>
          <w:tblCellSpacing w:w="0" w:type="dxa"/>
          <w:trHeight w:val="14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1" w:type="dxa"/>
            <w:textDirection w:val="btLr"/>
            <w:noWrap w:val="false"/>
          </w:tcPr>
          <w:p>
            <w:pPr>
              <w:ind w:left="113" w:right="113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ота,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Адрес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1" w:type="dxa"/>
            <w:textDirection w:val="lrTb"/>
            <w:noWrap w:val="false"/>
          </w:tcPr>
          <w:p>
            <w:pPr>
              <w:ind w:left="115" w:right="115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Год постройки</w:t>
            </w:r>
            <w:r/>
          </w:p>
          <w:p>
            <w:pPr>
              <w:ind w:left="115" w:right="115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ind w:left="115" w:right="115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Этажность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/секций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dxa"/>
            <w:textDirection w:val="lrTb"/>
            <w:noWrap w:val="false"/>
          </w:tcPr>
          <w:p>
            <w:pPr>
              <w:ind w:left="-64" w:right="-12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квартир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ind w:left="-120" w:right="-120"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Площадь жилых помещений (общая площадь квартир)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</w:t>
            </w:r>
            <w:r/>
          </w:p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кв.м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3" w:type="dxa"/>
            <w:textDirection w:val="lrTb"/>
            <w:noWrap w:val="false"/>
          </w:tcPr>
          <w:p>
            <w:pPr>
              <w:ind w:left="-120" w:right="-1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 площадь нежилых помещений, не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ходящих в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состав общего имущества,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кв.м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5" w:type="dxa"/>
            <w:textDirection w:val="lrTb"/>
            <w:noWrap w:val="false"/>
          </w:tcPr>
          <w:p>
            <w:pPr>
              <w:ind w:left="-106"/>
              <w:jc w:val="center"/>
              <w:spacing w:after="0" w:line="240" w:lineRule="auto"/>
              <w:tabs>
                <w:tab w:val="left" w:pos="131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Площадь помещения общего пользования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кв.м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6" w:type="dxa"/>
            <w:textDirection w:val="lrTb"/>
            <w:noWrap w:val="false"/>
          </w:tcPr>
          <w:p>
            <w:pPr>
              <w:ind w:left="-118" w:right="-79"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Вид</w:t>
            </w:r>
            <w:r/>
          </w:p>
          <w:p>
            <w:pPr>
              <w:ind w:left="-118" w:right="-7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благоустройства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6" w:type="dxa"/>
            <w:textDirection w:val="lrTb"/>
            <w:noWrap w:val="false"/>
          </w:tcPr>
          <w:p>
            <w:pPr>
              <w:ind w:left="-20" w:right="-7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Площадь земельного участка, входящего в состав общего имущества многоквартирного дома,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кв.м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ind w:left="-25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Размер платы за содержание и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ремонт жилого помещения руб. в месяц с 1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кв.м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общей площади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(без учета ТБО)</w:t>
            </w:r>
            <w:r/>
          </w:p>
        </w:tc>
      </w:tr>
      <w:tr>
        <w:trPr>
          <w:tblCellSpacing w:w="0" w:type="dxa"/>
          <w:trHeight w:val="381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</w:t>
            </w:r>
            <w:r/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Разумное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Станционная, д. 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1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1984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388,9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3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686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nos" w:hAnsi="Tinos" w:cs="Tinos"/>
                <w:sz w:val="18"/>
                <w:szCs w:val="18"/>
              </w:rPr>
            </w:pPr>
            <w:r>
              <w:rPr>
                <w:rFonts w:ascii="Tinos" w:hAnsi="Tinos" w:cs="Tinos"/>
                <w:sz w:val="18"/>
                <w:szCs w:val="18"/>
              </w:rPr>
              <w:t xml:space="preserve">Энергоснабжение</w:t>
            </w:r>
            <w:r>
              <w:rPr>
                <w:rFonts w:ascii="Tinos" w:hAnsi="Tinos" w:cs="Tinos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nos" w:hAnsi="Tinos" w:cs="Tinos"/>
                <w:sz w:val="18"/>
                <w:szCs w:val="18"/>
              </w:rPr>
            </w:pPr>
            <w:r>
              <w:rPr>
                <w:rFonts w:ascii="Tinos" w:hAnsi="Tinos" w:cs="Tinos"/>
                <w:sz w:val="18"/>
                <w:szCs w:val="18"/>
              </w:rPr>
              <w:t xml:space="preserve">Газоснабжение</w:t>
            </w:r>
            <w:r>
              <w:rPr>
                <w:rFonts w:ascii="Tinos" w:hAnsi="Tinos" w:cs="Tinos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nos" w:hAnsi="Tinos" w:cs="Tinos"/>
                <w:sz w:val="18"/>
                <w:szCs w:val="18"/>
              </w:rPr>
            </w:pPr>
            <w:r>
              <w:rPr>
                <w:rFonts w:ascii="Tinos" w:hAnsi="Tinos" w:cs="Tinos"/>
                <w:sz w:val="18"/>
                <w:szCs w:val="18"/>
              </w:rPr>
              <w:t xml:space="preserve">Водоснабжение</w:t>
            </w:r>
            <w:r>
              <w:rPr>
                <w:rFonts w:ascii="Tinos" w:hAnsi="Tinos" w:cs="Tinos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nos" w:hAnsi="Tinos" w:cs="Tinos"/>
                <w:sz w:val="18"/>
                <w:szCs w:val="18"/>
              </w:rPr>
            </w:pPr>
            <w:r>
              <w:rPr>
                <w:rFonts w:ascii="Tinos" w:hAnsi="Tinos" w:cs="Tinos"/>
                <w:sz w:val="18"/>
                <w:szCs w:val="18"/>
              </w:rPr>
              <w:t xml:space="preserve">Водоотведение</w:t>
            </w:r>
            <w:r>
              <w:rPr>
                <w:rFonts w:ascii="Tinos" w:hAnsi="Tinos" w:cs="Tinos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18"/>
                <w:szCs w:val="18"/>
              </w:rPr>
              <w:t xml:space="preserve">Т</w:t>
            </w:r>
            <w:r>
              <w:rPr>
                <w:rFonts w:ascii="Tinos" w:hAnsi="Tinos" w:cs="Tinos"/>
                <w:sz w:val="18"/>
                <w:szCs w:val="18"/>
              </w:rPr>
              <w:t xml:space="preserve">еплоснабжение</w:t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6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1631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18,13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>
          <w:tblCellSpacing w:w="0" w:type="dxa"/>
          <w:trHeight w:val="179"/>
        </w:trPr>
        <w:tc>
          <w:tcPr>
            <w:tcBorders>
              <w:left w:val="single" w:color="000000" w:sz="6" w:space="0"/>
              <w:right w:val="single" w:color="000000" w:sz="6" w:space="0"/>
            </w:tcBorders>
            <w:tcW w:w="681" w:type="dxa"/>
            <w:vMerge w:val="continue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Разумное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Станционная, д. 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1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1986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385,0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3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32,0</w:t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168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6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1028</w:t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>
          <w:tblCellSpacing w:w="0" w:type="dxa"/>
          <w:trHeight w:val="179"/>
        </w:trPr>
        <w:tc>
          <w:tcPr>
            <w:tcBorders>
              <w:left w:val="single" w:color="000000" w:sz="6" w:space="0"/>
              <w:right w:val="single" w:color="000000" w:sz="6" w:space="0"/>
            </w:tcBorders>
            <w:tcW w:w="681" w:type="dxa"/>
            <w:vMerge w:val="continue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Разумное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Станционная, д. 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1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1987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381,1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3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32,0</w:t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168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6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1195</w:t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>
          <w:tblCellSpacing w:w="0" w:type="dxa"/>
          <w:trHeight w:val="179"/>
        </w:trPr>
        <w:tc>
          <w:tcPr>
            <w:tcBorders>
              <w:left w:val="single" w:color="000000" w:sz="6" w:space="0"/>
              <w:right w:val="single" w:color="000000" w:sz="6" w:space="0"/>
            </w:tcBorders>
            <w:tcW w:w="681" w:type="dxa"/>
            <w:vMerge w:val="continue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Разумное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Станционная, д. 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1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1991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374,9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3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23,6</w:t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168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6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914</w:t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>
          <w:tblCellSpacing w:w="0" w:type="dxa"/>
          <w:trHeight w:val="179"/>
        </w:trPr>
        <w:tc>
          <w:tcPr>
            <w:tcBorders>
              <w:left w:val="single" w:color="000000" w:sz="6" w:space="0"/>
              <w:right w:val="single" w:color="000000" w:sz="6" w:space="0"/>
            </w:tcBorders>
            <w:tcW w:w="681" w:type="dxa"/>
            <w:vMerge w:val="continue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Разумное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Станционная, д.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1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1991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366,3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3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23,5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6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914</w:t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>
          <w:tblCellSpacing w:w="0" w:type="dxa"/>
          <w:trHeight w:val="179"/>
        </w:trPr>
        <w:tc>
          <w:tcPr>
            <w:tcBorders>
              <w:left w:val="single" w:color="000000" w:sz="6" w:space="0"/>
              <w:right w:val="single" w:color="000000" w:sz="6" w:space="0"/>
            </w:tcBorders>
            <w:tcW w:w="681" w:type="dxa"/>
            <w:vMerge w:val="continue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Разумное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Станционная, д. 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1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395,6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3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235,8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686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6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914</w:t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>
          <w:tblCellSpacing w:w="0" w:type="dxa"/>
          <w:trHeight w:val="179"/>
        </w:trPr>
        <w:tc>
          <w:tcPr>
            <w:tcBorders>
              <w:left w:val="single" w:color="000000" w:sz="6" w:space="0"/>
              <w:right w:val="single" w:color="000000" w:sz="6" w:space="0"/>
            </w:tcBorders>
            <w:tcW w:w="681" w:type="dxa"/>
            <w:vMerge w:val="continue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Разумное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Станционная, д. 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1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392,1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3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250,2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6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914</w:t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>
          <w:tblCellSpacing w:w="0" w:type="dxa"/>
          <w:trHeight w:val="179"/>
        </w:trPr>
        <w:tc>
          <w:tcPr>
            <w:tcBorders>
              <w:left w:val="single" w:color="000000" w:sz="6" w:space="0"/>
              <w:right w:val="single" w:color="000000" w:sz="6" w:space="0"/>
            </w:tcBorders>
            <w:tcW w:w="681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97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1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2 683,9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3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6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6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>
          <w:tblCellSpacing w:w="0" w:type="dxa"/>
          <w:trHeight w:val="179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с. Малиновка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ул. Кирова, д. 2,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ул. Кирова, д. 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1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1989</w:t>
            </w:r>
            <w:r/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1989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</w:t>
            </w:r>
            <w:r/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693,3</w:t>
            </w:r>
            <w:r/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690,2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3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/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322,4</w:t>
            </w:r>
            <w:r/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348,76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6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Энергоснабжение </w:t>
            </w:r>
            <w:r/>
            <w:r>
              <w:rPr>
                <w:rFonts w:ascii="Times New Roman" w:hAnsi="Times New Roman"/>
                <w:sz w:val="18"/>
                <w:szCs w:val="18"/>
              </w:rPr>
              <w:t xml:space="preserve">Газоснабжение </w:t>
            </w:r>
            <w:r/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t xml:space="preserve">Водоснабжение</w:t>
            </w:r>
            <w:r/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6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17,29</w:t>
            </w:r>
            <w:r/>
          </w:p>
        </w:tc>
      </w:tr>
      <w:tr>
        <w:trPr>
          <w:tblCellSpacing w:w="0" w:type="dxa"/>
          <w:trHeight w:val="179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vMerge w:val="continue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97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1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1 383,5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3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6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6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>
          <w:tblCellSpacing w:w="0" w:type="dxa"/>
          <w:trHeight w:val="179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п. Дубовое,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мкр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Северный-2,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ул. Песчаная, д. 1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ул. Песчаная, д.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1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2009</w:t>
            </w:r>
            <w:r/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/ 4</w:t>
            </w:r>
            <w:r/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/ 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/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509,8</w:t>
            </w:r>
            <w:r/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719,2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3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/272,7</w:t>
            </w:r>
            <w:r/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8/ 261,3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8,9</w:t>
            </w:r>
            <w:r/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00000"/>
              </w:rPr>
              <w:t xml:space="preserve">218,4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6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  <w:rPr>
                <w:rFonts w:ascii="Tinos" w:hAnsi="Tinos" w:cs="Tinos"/>
                <w:sz w:val="18"/>
                <w:szCs w:val="18"/>
              </w:rPr>
            </w:pPr>
            <w:r>
              <w:rPr>
                <w:rFonts w:ascii="Tinos" w:hAnsi="Tinos" w:cs="Tinos"/>
                <w:sz w:val="18"/>
                <w:szCs w:val="18"/>
              </w:rPr>
              <w:t xml:space="preserve">Энергоснабжение</w:t>
            </w:r>
            <w:r>
              <w:rPr>
                <w:rFonts w:ascii="Tinos" w:hAnsi="Tinos" w:cs="Tinos"/>
              </w:rPr>
            </w:r>
          </w:p>
          <w:p>
            <w:pPr>
              <w:pStyle w:val="669"/>
              <w:jc w:val="center"/>
              <w:rPr>
                <w:rFonts w:ascii="Tinos" w:hAnsi="Tinos" w:cs="Tinos"/>
                <w:sz w:val="18"/>
                <w:szCs w:val="18"/>
              </w:rPr>
            </w:pPr>
            <w:r>
              <w:rPr>
                <w:rFonts w:ascii="Tinos" w:hAnsi="Tinos" w:cs="Tinos"/>
                <w:sz w:val="18"/>
                <w:szCs w:val="18"/>
              </w:rPr>
              <w:t xml:space="preserve">Газоснабжение</w:t>
            </w:r>
            <w:r>
              <w:rPr>
                <w:rFonts w:ascii="Tinos" w:hAnsi="Tinos" w:cs="Tinos"/>
              </w:rPr>
            </w:r>
          </w:p>
          <w:p>
            <w:pPr>
              <w:pStyle w:val="669"/>
              <w:jc w:val="center"/>
              <w:rPr>
                <w:rFonts w:ascii="Times New Roman" w:hAnsi="Times New Roman"/>
              </w:rPr>
            </w:pPr>
            <w:r>
              <w:rPr>
                <w:rFonts w:ascii="Tinos" w:hAnsi="Tinos" w:cs="Tinos"/>
                <w:sz w:val="18"/>
                <w:szCs w:val="18"/>
              </w:rPr>
              <w:t xml:space="preserve">Водоснабжение</w:t>
            </w:r>
            <w:r>
              <w:rPr>
                <w:rFonts w:ascii="Tinos" w:hAnsi="Tinos" w:cs="Tinos"/>
                <w:sz w:val="18"/>
                <w:szCs w:val="18"/>
              </w:rPr>
              <w:t xml:space="preserve"> </w:t>
            </w:r>
            <w:r>
              <w:rPr>
                <w:rFonts w:ascii="Tinos" w:hAnsi="Tinos" w:cs="Tinos"/>
                <w:sz w:val="18"/>
                <w:szCs w:val="18"/>
              </w:rPr>
              <w:t xml:space="preserve">Водоотведение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6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17,52</w:t>
            </w:r>
            <w:r/>
          </w:p>
        </w:tc>
      </w:tr>
      <w:tr>
        <w:trPr>
          <w:tblCellSpacing w:w="0" w:type="dxa"/>
          <w:trHeight w:val="179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vMerge w:val="continue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97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1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1 229,0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3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6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6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>
          <w:tblCellSpacing w:w="0" w:type="dxa"/>
          <w:trHeight w:val="179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п. Дубовое,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мкр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Северный-3,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ул. Городская, д. 13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ул. Городская, д. 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1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2014</w:t>
            </w:r>
            <w:r/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</w:t>
            </w:r>
            <w:r/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3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/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95,2</w:t>
            </w:r>
            <w:r/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6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  <w:rPr>
                <w:rFonts w:ascii="Tinos" w:hAnsi="Tinos" w:cs="Tinos"/>
                <w:sz w:val="18"/>
                <w:szCs w:val="18"/>
              </w:rPr>
            </w:pPr>
            <w:r>
              <w:rPr>
                <w:rFonts w:ascii="Tinos" w:hAnsi="Tinos" w:cs="Tinos"/>
                <w:sz w:val="18"/>
                <w:szCs w:val="18"/>
              </w:rPr>
              <w:t xml:space="preserve">Энергоснабжение</w:t>
            </w:r>
            <w:r>
              <w:rPr>
                <w:rFonts w:ascii="Tinos" w:hAnsi="Tinos" w:cs="Tinos"/>
              </w:rPr>
            </w:r>
          </w:p>
          <w:p>
            <w:pPr>
              <w:pStyle w:val="669"/>
              <w:jc w:val="center"/>
              <w:rPr>
                <w:rFonts w:ascii="Tinos" w:hAnsi="Tinos" w:cs="Tinos"/>
                <w:sz w:val="18"/>
                <w:szCs w:val="18"/>
              </w:rPr>
            </w:pPr>
            <w:r>
              <w:rPr>
                <w:rFonts w:ascii="Tinos" w:hAnsi="Tinos" w:cs="Tinos"/>
                <w:sz w:val="18"/>
                <w:szCs w:val="18"/>
              </w:rPr>
              <w:t xml:space="preserve">Газоснабжение</w:t>
            </w:r>
            <w:r>
              <w:rPr>
                <w:rFonts w:ascii="Tinos" w:hAnsi="Tinos" w:cs="Tinos"/>
              </w:rPr>
            </w:r>
          </w:p>
          <w:p>
            <w:pPr>
              <w:pStyle w:val="669"/>
              <w:jc w:val="center"/>
              <w:rPr>
                <w:rFonts w:ascii="Tinos" w:hAnsi="Tinos" w:cs="Tinos"/>
                <w:sz w:val="18"/>
                <w:szCs w:val="18"/>
              </w:rPr>
            </w:pPr>
            <w:r>
              <w:rPr>
                <w:rFonts w:ascii="Tinos" w:hAnsi="Tinos" w:cs="Tinos"/>
                <w:sz w:val="18"/>
                <w:szCs w:val="18"/>
              </w:rPr>
              <w:t xml:space="preserve">Водоснабжение</w:t>
            </w:r>
            <w:r>
              <w:rPr>
                <w:rFonts w:ascii="Tinos" w:hAnsi="Tinos" w:cs="Tinos"/>
              </w:rPr>
            </w:r>
          </w:p>
          <w:p>
            <w:pPr>
              <w:pStyle w:val="669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18"/>
                <w:szCs w:val="18"/>
              </w:rPr>
              <w:t xml:space="preserve">Водоотведение</w:t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6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17,52</w:t>
            </w:r>
            <w:r/>
          </w:p>
        </w:tc>
      </w:tr>
      <w:tr>
        <w:trPr>
          <w:tblCellSpacing w:w="0" w:type="dxa"/>
          <w:trHeight w:val="179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vMerge w:val="continue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97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1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604,8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3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6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6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>
          <w:tblCellSpacing w:w="0" w:type="dxa"/>
          <w:trHeight w:val="179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с. Репное,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мкр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Европа,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ул. Венская, д. 1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ул. Венская, д. 3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ул. Венская, д. 5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ул. Венская, д. 7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ул. Венская, д. 9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ул. Венская, д. 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1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201</w:t>
            </w:r>
            <w:r>
              <w:t xml:space="preserve">5</w:t>
            </w:r>
            <w:r/>
          </w:p>
          <w:p>
            <w:pPr>
              <w:pStyle w:val="669"/>
              <w:jc w:val="center"/>
            </w:pPr>
            <w:r>
              <w:t xml:space="preserve">2015</w:t>
            </w:r>
            <w:r/>
          </w:p>
          <w:p>
            <w:pPr>
              <w:pStyle w:val="669"/>
              <w:jc w:val="center"/>
            </w:pPr>
            <w:r>
              <w:t xml:space="preserve">2016</w:t>
            </w:r>
            <w:r/>
          </w:p>
          <w:p>
            <w:pPr>
              <w:pStyle w:val="669"/>
              <w:jc w:val="center"/>
            </w:pPr>
            <w:r>
              <w:t xml:space="preserve">2018</w:t>
            </w:r>
            <w:r/>
          </w:p>
          <w:p>
            <w:pPr>
              <w:pStyle w:val="669"/>
              <w:jc w:val="center"/>
            </w:pPr>
            <w:r>
              <w:t xml:space="preserve">2018</w:t>
            </w:r>
            <w:r/>
          </w:p>
          <w:p>
            <w:pPr>
              <w:pStyle w:val="669"/>
              <w:jc w:val="center"/>
            </w:pPr>
            <w:r>
              <w:t xml:space="preserve">201</w:t>
            </w:r>
            <w: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2</w:t>
            </w:r>
            <w:r/>
          </w:p>
          <w:p>
            <w:pPr>
              <w:pStyle w:val="669"/>
              <w:jc w:val="center"/>
            </w:pPr>
            <w:r>
              <w:t xml:space="preserve">2</w:t>
            </w:r>
            <w:r/>
          </w:p>
          <w:p>
            <w:pPr>
              <w:pStyle w:val="669"/>
              <w:jc w:val="center"/>
            </w:pPr>
            <w:r>
              <w:t xml:space="preserve">2</w:t>
            </w:r>
            <w:r/>
          </w:p>
          <w:p>
            <w:pPr>
              <w:pStyle w:val="669"/>
              <w:jc w:val="center"/>
            </w:pPr>
            <w:r>
              <w:t xml:space="preserve">2</w:t>
            </w:r>
            <w:r/>
          </w:p>
          <w:p>
            <w:pPr>
              <w:pStyle w:val="669"/>
              <w:jc w:val="center"/>
            </w:pPr>
            <w:r>
              <w:t xml:space="preserve">2</w:t>
            </w:r>
            <w:r/>
          </w:p>
          <w:p>
            <w:pPr>
              <w:pStyle w:val="669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14</w:t>
            </w:r>
            <w:r/>
          </w:p>
          <w:p>
            <w:pPr>
              <w:pStyle w:val="669"/>
              <w:jc w:val="center"/>
            </w:pPr>
            <w:r>
              <w:t xml:space="preserve">14</w:t>
            </w:r>
            <w:r/>
          </w:p>
          <w:p>
            <w:pPr>
              <w:pStyle w:val="669"/>
              <w:jc w:val="center"/>
            </w:pPr>
            <w:r>
              <w:t xml:space="preserve">18</w:t>
            </w:r>
            <w:r/>
          </w:p>
          <w:p>
            <w:pPr>
              <w:pStyle w:val="669"/>
              <w:jc w:val="center"/>
            </w:pPr>
            <w:r>
              <w:t xml:space="preserve">18</w:t>
            </w:r>
            <w:r/>
          </w:p>
          <w:p>
            <w:pPr>
              <w:pStyle w:val="669"/>
              <w:jc w:val="center"/>
            </w:pPr>
            <w:r>
              <w:t xml:space="preserve">18</w:t>
            </w:r>
            <w:r/>
          </w:p>
          <w:p>
            <w:pPr>
              <w:pStyle w:val="669"/>
              <w:jc w:val="center"/>
            </w:pPr>
            <w:r>
              <w:t xml:space="preserve">28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720,4</w:t>
            </w:r>
            <w:r/>
          </w:p>
          <w:p>
            <w:pPr>
              <w:pStyle w:val="669"/>
              <w:jc w:val="center"/>
            </w:pPr>
            <w:r>
              <w:t xml:space="preserve">718,7</w:t>
            </w:r>
            <w:r/>
          </w:p>
          <w:p>
            <w:pPr>
              <w:pStyle w:val="669"/>
              <w:jc w:val="center"/>
            </w:pPr>
            <w:r>
              <w:t xml:space="preserve">822,8</w:t>
            </w:r>
            <w:r/>
          </w:p>
          <w:p>
            <w:pPr>
              <w:pStyle w:val="669"/>
              <w:jc w:val="center"/>
            </w:pPr>
            <w:r>
              <w:t xml:space="preserve">815,0</w:t>
            </w:r>
            <w:r/>
          </w:p>
          <w:p>
            <w:pPr>
              <w:pStyle w:val="669"/>
              <w:jc w:val="center"/>
            </w:pPr>
            <w:r>
              <w:t xml:space="preserve">802,3</w:t>
            </w:r>
            <w:r/>
          </w:p>
          <w:p>
            <w:pPr>
              <w:pStyle w:val="669"/>
              <w:jc w:val="center"/>
            </w:pPr>
            <w:r>
              <w:t xml:space="preserve">1242,0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3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0</w:t>
            </w:r>
            <w:r/>
          </w:p>
          <w:p>
            <w:pPr>
              <w:pStyle w:val="669"/>
              <w:jc w:val="center"/>
            </w:pPr>
            <w:r>
              <w:t xml:space="preserve">0</w:t>
            </w:r>
            <w:r/>
          </w:p>
          <w:p>
            <w:pPr>
              <w:pStyle w:val="669"/>
              <w:jc w:val="center"/>
            </w:pPr>
            <w:r>
              <w:t xml:space="preserve">0</w:t>
            </w:r>
            <w:r/>
          </w:p>
          <w:p>
            <w:pPr>
              <w:pStyle w:val="669"/>
              <w:jc w:val="center"/>
            </w:pPr>
            <w:r>
              <w:t xml:space="preserve">115,8</w:t>
            </w:r>
            <w:r/>
          </w:p>
          <w:p>
            <w:pPr>
              <w:pStyle w:val="669"/>
              <w:jc w:val="center"/>
            </w:pPr>
            <w:r>
              <w:t xml:space="preserve">0</w:t>
            </w:r>
            <w:r/>
          </w:p>
          <w:p>
            <w:pPr>
              <w:pStyle w:val="669"/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5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65,8</w:t>
            </w:r>
            <w:r/>
          </w:p>
          <w:p>
            <w:pPr>
              <w:pStyle w:val="669"/>
              <w:jc w:val="center"/>
            </w:pPr>
            <w:r>
              <w:t xml:space="preserve">65,8</w:t>
            </w:r>
            <w:r/>
          </w:p>
          <w:p>
            <w:pPr>
              <w:pStyle w:val="669"/>
              <w:jc w:val="center"/>
            </w:pPr>
            <w:r>
              <w:t xml:space="preserve">103,6</w:t>
            </w:r>
            <w:r/>
          </w:p>
          <w:p>
            <w:pPr>
              <w:pStyle w:val="669"/>
              <w:jc w:val="center"/>
            </w:pPr>
            <w:r>
              <w:t xml:space="preserve">126,6</w:t>
            </w:r>
            <w:r/>
          </w:p>
          <w:p>
            <w:pPr>
              <w:pStyle w:val="669"/>
              <w:jc w:val="center"/>
            </w:pPr>
            <w:r>
              <w:t xml:space="preserve">115,2</w:t>
            </w:r>
            <w:r/>
          </w:p>
          <w:p>
            <w:pPr>
              <w:pStyle w:val="669"/>
              <w:jc w:val="center"/>
            </w:pPr>
            <w:r>
              <w:t xml:space="preserve">137,5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6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  <w:rPr>
                <w:rFonts w:ascii="Tinos" w:hAnsi="Tinos" w:cs="Tinos"/>
                <w:sz w:val="18"/>
                <w:szCs w:val="18"/>
              </w:rPr>
            </w:pPr>
            <w:r>
              <w:rPr>
                <w:rFonts w:ascii="Tinos" w:hAnsi="Tinos" w:cs="Tinos"/>
                <w:sz w:val="18"/>
                <w:szCs w:val="18"/>
              </w:rPr>
              <w:t xml:space="preserve">Энергоснабжение</w:t>
            </w:r>
            <w:r>
              <w:rPr>
                <w:rFonts w:ascii="Tinos" w:hAnsi="Tinos" w:cs="Tinos"/>
              </w:rPr>
            </w:r>
          </w:p>
          <w:p>
            <w:pPr>
              <w:pStyle w:val="669"/>
              <w:jc w:val="center"/>
              <w:rPr>
                <w:rFonts w:ascii="Tinos" w:hAnsi="Tinos" w:cs="Tinos"/>
                <w:sz w:val="18"/>
                <w:szCs w:val="18"/>
              </w:rPr>
            </w:pPr>
            <w:r>
              <w:rPr>
                <w:rFonts w:ascii="Tinos" w:hAnsi="Tinos" w:cs="Tinos"/>
                <w:sz w:val="18"/>
                <w:szCs w:val="18"/>
              </w:rPr>
              <w:t xml:space="preserve">Газоснабжение</w:t>
            </w:r>
            <w:r>
              <w:rPr>
                <w:rFonts w:ascii="Tinos" w:hAnsi="Tinos" w:cs="Tinos"/>
              </w:rPr>
            </w:r>
          </w:p>
          <w:p>
            <w:pPr>
              <w:pStyle w:val="669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cs="Tinos"/>
                <w:sz w:val="18"/>
                <w:szCs w:val="18"/>
              </w:rPr>
              <w:t xml:space="preserve">Водоснабжение</w:t>
            </w:r>
            <w:r>
              <w:rPr>
                <w:rFonts w:ascii="Tinos" w:hAnsi="Tinos" w:cs="Tinos"/>
                <w:sz w:val="18"/>
                <w:szCs w:val="18"/>
              </w:rPr>
              <w:t xml:space="preserve"> </w:t>
            </w:r>
            <w:r>
              <w:rPr>
                <w:rFonts w:ascii="Tinos" w:hAnsi="Tinos" w:cs="Tinos"/>
                <w:sz w:val="18"/>
                <w:szCs w:val="18"/>
              </w:rPr>
              <w:t xml:space="preserve">Водоотведение</w:t>
            </w:r>
            <w:r>
              <w:rPr>
                <w:rFonts w:ascii="Tinos" w:hAnsi="Tinos" w:cs="Tinos"/>
                <w:b/>
              </w:rPr>
              <w:t xml:space="preserve"> </w:t>
            </w:r>
            <w:r>
              <w:rPr>
                <w:rFonts w:ascii="Tinos" w:hAnsi="Tinos" w:cs="Tinos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nos" w:hAnsi="Tinos" w:cs="Tinos"/>
                <w:b/>
              </w:rPr>
            </w:pP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6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17,52</w:t>
            </w:r>
            <w:r/>
          </w:p>
        </w:tc>
      </w:tr>
      <w:tr>
        <w:trPr>
          <w:tblCellSpacing w:w="0" w:type="dxa"/>
          <w:trHeight w:val="179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vMerge w:val="continue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97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ИТОГО:</w:t>
            </w:r>
            <w:r/>
            <w:r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1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5151,2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3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6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6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>
          <w:tblCellSpacing w:w="0" w:type="dxa"/>
          <w:trHeight w:val="158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с. Репное,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мкр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Европа,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ул. Испанская, д. 5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ул. Испанская, д. 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1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2018</w:t>
            </w:r>
            <w:r/>
          </w:p>
          <w:p>
            <w:pPr>
              <w:pStyle w:val="669"/>
              <w:jc w:val="center"/>
            </w:pPr>
            <w:r>
              <w:t xml:space="preserve">2018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2</w:t>
            </w:r>
            <w:r/>
          </w:p>
          <w:p>
            <w:pPr>
              <w:pStyle w:val="669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8</w:t>
            </w:r>
            <w:r/>
          </w:p>
          <w:p>
            <w:pPr>
              <w:pStyle w:val="669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349,2</w:t>
            </w:r>
            <w:r/>
          </w:p>
          <w:p>
            <w:pPr>
              <w:pStyle w:val="669"/>
              <w:jc w:val="center"/>
            </w:pPr>
            <w:r>
              <w:t xml:space="preserve">574,6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3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0</w:t>
            </w:r>
            <w:r/>
          </w:p>
          <w:p>
            <w:pPr>
              <w:pStyle w:val="669"/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5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42,7</w:t>
            </w:r>
            <w:r/>
          </w:p>
          <w:p>
            <w:pPr>
              <w:pStyle w:val="669"/>
              <w:jc w:val="center"/>
            </w:pPr>
            <w:r>
              <w:t xml:space="preserve">40,7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6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  <w:rPr>
                <w:rFonts w:ascii="Tinos" w:hAnsi="Tinos" w:cs="Tinos"/>
                <w:sz w:val="18"/>
                <w:szCs w:val="18"/>
              </w:rPr>
            </w:pPr>
            <w:r>
              <w:rPr>
                <w:rFonts w:ascii="Tinos" w:hAnsi="Tinos" w:cs="Tinos"/>
                <w:sz w:val="18"/>
                <w:szCs w:val="18"/>
              </w:rPr>
              <w:t xml:space="preserve">Энергоснабжение</w:t>
            </w:r>
            <w:r>
              <w:rPr>
                <w:rFonts w:ascii="Tinos" w:hAnsi="Tinos" w:cs="Tinos"/>
              </w:rPr>
            </w:r>
          </w:p>
          <w:p>
            <w:pPr>
              <w:pStyle w:val="669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18"/>
                <w:szCs w:val="18"/>
              </w:rPr>
              <w:t xml:space="preserve">Газоснабжение</w:t>
            </w:r>
            <w:r>
              <w:rPr>
                <w:rFonts w:ascii="Tinos" w:hAnsi="Tinos" w:cs="Tinos"/>
                <w:sz w:val="18"/>
                <w:szCs w:val="18"/>
              </w:rPr>
              <w:t xml:space="preserve"> </w:t>
            </w:r>
            <w:r>
              <w:rPr>
                <w:rFonts w:ascii="Tinos" w:hAnsi="Tinos" w:cs="Tinos"/>
                <w:sz w:val="18"/>
                <w:szCs w:val="18"/>
              </w:rPr>
              <w:t xml:space="preserve">Водоснабжение</w:t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6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17,52</w:t>
            </w:r>
            <w:r/>
          </w:p>
        </w:tc>
      </w:tr>
      <w:tr>
        <w:trPr>
          <w:tblCellSpacing w:w="0" w:type="dxa"/>
          <w:trHeight w:val="179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vMerge w:val="continue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97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1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923,8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3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6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6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>
          <w:tblCellSpacing w:w="0" w:type="dxa"/>
          <w:trHeight w:val="179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с. Репное,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мкр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Европа,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ул. Пражская, д. 1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ул. Пражская, д.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3Б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ул. Пражская, д.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5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ул. Пражская, д.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5А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ул. Пражская, д.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5Б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ул. Пражская, д.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9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ул. Пражская, д.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11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ул. Пражская, д.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13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ул. Пражская, д.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15</w:t>
            </w:r>
            <w:r/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r>
            <w:r/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1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2013</w:t>
            </w:r>
            <w:r/>
          </w:p>
          <w:p>
            <w:pPr>
              <w:pStyle w:val="669"/>
              <w:jc w:val="center"/>
            </w:pPr>
            <w:r>
              <w:t xml:space="preserve">2012</w:t>
            </w:r>
            <w:r/>
          </w:p>
          <w:p>
            <w:pPr>
              <w:pStyle w:val="669"/>
              <w:jc w:val="center"/>
            </w:pPr>
            <w:r>
              <w:t xml:space="preserve">2016</w:t>
            </w:r>
            <w:r/>
          </w:p>
          <w:p>
            <w:pPr>
              <w:pStyle w:val="669"/>
              <w:jc w:val="center"/>
            </w:pPr>
            <w:r>
              <w:t xml:space="preserve">2018</w:t>
            </w:r>
            <w:r/>
          </w:p>
          <w:p>
            <w:pPr>
              <w:pStyle w:val="669"/>
              <w:jc w:val="center"/>
            </w:pPr>
            <w:r>
              <w:t xml:space="preserve">2018</w:t>
            </w:r>
            <w:r/>
          </w:p>
          <w:p>
            <w:pPr>
              <w:pStyle w:val="669"/>
              <w:jc w:val="center"/>
            </w:pPr>
            <w:r>
              <w:t xml:space="preserve">2014</w:t>
            </w:r>
            <w:r/>
          </w:p>
          <w:p>
            <w:pPr>
              <w:pStyle w:val="669"/>
              <w:jc w:val="center"/>
            </w:pPr>
            <w:r>
              <w:t xml:space="preserve">2013</w:t>
            </w:r>
            <w:r/>
          </w:p>
          <w:p>
            <w:pPr>
              <w:pStyle w:val="669"/>
              <w:jc w:val="center"/>
            </w:pPr>
            <w:r>
              <w:t xml:space="preserve">2014</w:t>
            </w:r>
            <w:r/>
          </w:p>
          <w:p>
            <w:pPr>
              <w:pStyle w:val="669"/>
              <w:jc w:val="center"/>
            </w:pPr>
            <w:r>
              <w:t xml:space="preserve">2014</w:t>
            </w:r>
            <w:r/>
          </w:p>
          <w:p>
            <w:pPr>
              <w:pStyle w:val="669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2</w:t>
            </w:r>
            <w:r/>
          </w:p>
          <w:p>
            <w:pPr>
              <w:pStyle w:val="669"/>
              <w:jc w:val="center"/>
            </w:pPr>
            <w:r>
              <w:t xml:space="preserve">2</w:t>
            </w:r>
            <w:r/>
          </w:p>
          <w:p>
            <w:pPr>
              <w:pStyle w:val="669"/>
              <w:jc w:val="center"/>
            </w:pPr>
            <w:r>
              <w:t xml:space="preserve">2</w:t>
            </w:r>
            <w:r/>
          </w:p>
          <w:p>
            <w:pPr>
              <w:pStyle w:val="669"/>
              <w:jc w:val="center"/>
            </w:pPr>
            <w:r>
              <w:t xml:space="preserve">2</w:t>
            </w:r>
            <w:r/>
          </w:p>
          <w:p>
            <w:pPr>
              <w:pStyle w:val="669"/>
              <w:jc w:val="center"/>
            </w:pPr>
            <w:r>
              <w:t xml:space="preserve">2</w:t>
            </w:r>
            <w:r/>
          </w:p>
          <w:p>
            <w:pPr>
              <w:pStyle w:val="669"/>
              <w:jc w:val="center"/>
            </w:pPr>
            <w:r>
              <w:t xml:space="preserve">2</w:t>
            </w:r>
            <w:r/>
          </w:p>
          <w:p>
            <w:pPr>
              <w:pStyle w:val="669"/>
              <w:jc w:val="center"/>
            </w:pPr>
            <w:r>
              <w:t xml:space="preserve">2</w:t>
            </w:r>
            <w:r/>
          </w:p>
          <w:p>
            <w:pPr>
              <w:pStyle w:val="669"/>
              <w:jc w:val="center"/>
            </w:pPr>
            <w:r>
              <w:t xml:space="preserve">2</w:t>
            </w:r>
            <w:r/>
          </w:p>
          <w:p>
            <w:pPr>
              <w:pStyle w:val="669"/>
              <w:jc w:val="center"/>
            </w:pPr>
            <w:r>
              <w:t xml:space="preserve">2</w:t>
            </w:r>
            <w:r/>
          </w:p>
          <w:p>
            <w:pPr>
              <w:pStyle w:val="669"/>
              <w:jc w:val="center"/>
            </w:pPr>
            <w:r>
              <w:rPr>
                <w:color w:val="ff000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7</w:t>
            </w:r>
            <w:r/>
          </w:p>
          <w:p>
            <w:pPr>
              <w:pStyle w:val="669"/>
              <w:jc w:val="center"/>
            </w:pPr>
            <w:r>
              <w:t xml:space="preserve">7</w:t>
            </w:r>
            <w:r/>
          </w:p>
          <w:p>
            <w:pPr>
              <w:pStyle w:val="669"/>
              <w:jc w:val="center"/>
            </w:pPr>
            <w:r>
              <w:t xml:space="preserve">12</w:t>
            </w:r>
            <w:r/>
          </w:p>
          <w:p>
            <w:pPr>
              <w:pStyle w:val="669"/>
              <w:jc w:val="center"/>
            </w:pPr>
            <w:r>
              <w:t xml:space="preserve">12</w:t>
            </w:r>
            <w:r/>
          </w:p>
          <w:p>
            <w:pPr>
              <w:pStyle w:val="669"/>
              <w:jc w:val="center"/>
            </w:pPr>
            <w:r>
              <w:t xml:space="preserve">10</w:t>
            </w:r>
            <w:r/>
          </w:p>
          <w:p>
            <w:pPr>
              <w:pStyle w:val="669"/>
              <w:jc w:val="center"/>
            </w:pPr>
            <w:r>
              <w:t xml:space="preserve">8</w:t>
            </w:r>
            <w:r/>
          </w:p>
          <w:p>
            <w:pPr>
              <w:pStyle w:val="669"/>
              <w:jc w:val="center"/>
            </w:pPr>
            <w:r>
              <w:t xml:space="preserve">8</w:t>
            </w:r>
            <w:r/>
          </w:p>
          <w:p>
            <w:pPr>
              <w:pStyle w:val="669"/>
              <w:jc w:val="center"/>
            </w:pPr>
            <w:r>
              <w:t xml:space="preserve">10</w:t>
            </w:r>
            <w:r/>
          </w:p>
          <w:p>
            <w:pPr>
              <w:pStyle w:val="669"/>
              <w:jc w:val="center"/>
            </w:pPr>
            <w:r>
              <w:t xml:space="preserve">10</w:t>
            </w:r>
            <w:r/>
          </w:p>
          <w:p>
            <w:pPr>
              <w:pStyle w:val="669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393,0</w:t>
            </w:r>
            <w:r/>
          </w:p>
          <w:p>
            <w:pPr>
              <w:pStyle w:val="669"/>
              <w:jc w:val="center"/>
            </w:pPr>
            <w:r>
              <w:t xml:space="preserve">364,9</w:t>
            </w:r>
            <w:r/>
          </w:p>
          <w:p>
            <w:pPr>
              <w:pStyle w:val="669"/>
              <w:jc w:val="center"/>
            </w:pPr>
            <w:r>
              <w:t xml:space="preserve">745,4</w:t>
            </w:r>
            <w:r/>
          </w:p>
          <w:p>
            <w:pPr>
              <w:pStyle w:val="669"/>
              <w:jc w:val="center"/>
            </w:pPr>
            <w:r>
              <w:t xml:space="preserve">765,9</w:t>
            </w:r>
            <w:r/>
          </w:p>
          <w:p>
            <w:pPr>
              <w:pStyle w:val="669"/>
              <w:jc w:val="center"/>
            </w:pPr>
            <w:r>
              <w:t xml:space="preserve">647,9</w:t>
            </w:r>
            <w:r/>
          </w:p>
          <w:p>
            <w:pPr>
              <w:pStyle w:val="669"/>
              <w:jc w:val="center"/>
            </w:pPr>
            <w:r>
              <w:t xml:space="preserve">379,8</w:t>
            </w:r>
            <w:r/>
          </w:p>
          <w:p>
            <w:pPr>
              <w:pStyle w:val="669"/>
              <w:jc w:val="center"/>
            </w:pPr>
            <w:r>
              <w:t xml:space="preserve">373,7</w:t>
            </w:r>
            <w:r/>
          </w:p>
          <w:p>
            <w:pPr>
              <w:pStyle w:val="669"/>
              <w:jc w:val="center"/>
            </w:pPr>
            <w:r>
              <w:t xml:space="preserve">552,6</w:t>
            </w:r>
            <w:r/>
          </w:p>
          <w:p>
            <w:pPr>
              <w:pStyle w:val="669"/>
              <w:jc w:val="center"/>
            </w:pPr>
            <w:r>
              <w:t xml:space="preserve">554,3</w:t>
            </w:r>
            <w:r/>
          </w:p>
          <w:p>
            <w:pPr>
              <w:pStyle w:val="669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3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0</w:t>
            </w:r>
            <w:r/>
          </w:p>
          <w:p>
            <w:pPr>
              <w:pStyle w:val="669"/>
              <w:jc w:val="center"/>
            </w:pPr>
            <w:r>
              <w:t xml:space="preserve">0</w:t>
            </w:r>
            <w:r/>
          </w:p>
          <w:p>
            <w:pPr>
              <w:pStyle w:val="669"/>
              <w:jc w:val="center"/>
            </w:pPr>
            <w:r>
              <w:t xml:space="preserve">0</w:t>
            </w:r>
            <w:r/>
          </w:p>
          <w:p>
            <w:pPr>
              <w:pStyle w:val="669"/>
              <w:jc w:val="center"/>
            </w:pPr>
            <w:r>
              <w:t xml:space="preserve">0</w:t>
            </w:r>
            <w:r/>
          </w:p>
          <w:p>
            <w:pPr>
              <w:pStyle w:val="669"/>
              <w:jc w:val="center"/>
            </w:pPr>
            <w:r>
              <w:t xml:space="preserve">0</w:t>
            </w:r>
            <w:r/>
          </w:p>
          <w:p>
            <w:pPr>
              <w:pStyle w:val="669"/>
              <w:jc w:val="center"/>
            </w:pPr>
            <w:r>
              <w:t xml:space="preserve">0</w:t>
            </w:r>
            <w:r/>
          </w:p>
          <w:p>
            <w:pPr>
              <w:pStyle w:val="669"/>
              <w:jc w:val="center"/>
            </w:pPr>
            <w:r>
              <w:t xml:space="preserve">0</w:t>
            </w:r>
            <w:r/>
          </w:p>
          <w:p>
            <w:pPr>
              <w:pStyle w:val="669"/>
              <w:jc w:val="center"/>
            </w:pPr>
            <w:r>
              <w:t xml:space="preserve">0</w:t>
            </w:r>
            <w:r/>
          </w:p>
          <w:p>
            <w:pPr>
              <w:pStyle w:val="669"/>
              <w:jc w:val="center"/>
            </w:pPr>
            <w:r>
              <w:t xml:space="preserve">0</w:t>
            </w:r>
            <w:r/>
          </w:p>
          <w:p>
            <w:pPr>
              <w:pStyle w:val="669"/>
              <w:jc w:val="center"/>
            </w:pPr>
            <w:r>
              <w:rPr>
                <w:color w:val="ff000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5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33,0</w:t>
            </w:r>
            <w:r/>
          </w:p>
          <w:p>
            <w:pPr>
              <w:pStyle w:val="669"/>
              <w:jc w:val="center"/>
            </w:pPr>
            <w:r>
              <w:t xml:space="preserve">35,8</w:t>
            </w:r>
            <w:r/>
          </w:p>
          <w:p>
            <w:pPr>
              <w:pStyle w:val="669"/>
              <w:jc w:val="center"/>
            </w:pPr>
            <w:r>
              <w:t xml:space="preserve">0</w:t>
            </w:r>
            <w:r/>
          </w:p>
          <w:p>
            <w:pPr>
              <w:pStyle w:val="669"/>
              <w:jc w:val="center"/>
            </w:pPr>
            <w:r>
              <w:t xml:space="preserve">92,5</w:t>
            </w:r>
            <w:r/>
          </w:p>
          <w:p>
            <w:pPr>
              <w:pStyle w:val="669"/>
              <w:jc w:val="center"/>
            </w:pPr>
            <w:r>
              <w:t xml:space="preserve">68,6</w:t>
            </w:r>
            <w:r/>
          </w:p>
          <w:p>
            <w:pPr>
              <w:pStyle w:val="669"/>
              <w:jc w:val="center"/>
            </w:pPr>
            <w:r>
              <w:t xml:space="preserve">50,6</w:t>
            </w:r>
            <w:r/>
          </w:p>
          <w:p>
            <w:pPr>
              <w:pStyle w:val="669"/>
              <w:jc w:val="center"/>
            </w:pPr>
            <w:r>
              <w:t xml:space="preserve">50,6</w:t>
            </w:r>
            <w:r/>
          </w:p>
          <w:p>
            <w:pPr>
              <w:pStyle w:val="669"/>
              <w:jc w:val="center"/>
            </w:pPr>
            <w:r>
              <w:t xml:space="preserve">52,6</w:t>
            </w:r>
            <w:r/>
          </w:p>
          <w:p>
            <w:pPr>
              <w:pStyle w:val="669"/>
              <w:jc w:val="center"/>
            </w:pPr>
            <w:r>
              <w:t xml:space="preserve">52,4</w:t>
            </w:r>
            <w:r/>
          </w:p>
          <w:p>
            <w:pPr>
              <w:pStyle w:val="669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6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  <w:rPr>
                <w:rFonts w:ascii="Tinos" w:hAnsi="Tinos" w:cs="Tinos"/>
                <w:sz w:val="18"/>
                <w:szCs w:val="18"/>
              </w:rPr>
            </w:pPr>
            <w:r>
              <w:rPr>
                <w:rFonts w:ascii="Tinos" w:hAnsi="Tinos" w:cs="Tinos"/>
                <w:sz w:val="18"/>
                <w:szCs w:val="18"/>
              </w:rPr>
              <w:t xml:space="preserve">Энергоснабжение</w:t>
            </w:r>
            <w:r>
              <w:rPr>
                <w:rFonts w:ascii="Tinos" w:hAnsi="Tinos" w:cs="Tinos"/>
              </w:rPr>
            </w:r>
          </w:p>
          <w:p>
            <w:pPr>
              <w:pStyle w:val="669"/>
              <w:jc w:val="center"/>
              <w:rPr>
                <w:rFonts w:ascii="Tinos" w:hAnsi="Tinos" w:cs="Tinos"/>
                <w:sz w:val="18"/>
                <w:szCs w:val="18"/>
              </w:rPr>
            </w:pPr>
            <w:r>
              <w:rPr>
                <w:rFonts w:ascii="Tinos" w:hAnsi="Tinos" w:cs="Tinos"/>
                <w:sz w:val="18"/>
                <w:szCs w:val="18"/>
              </w:rPr>
              <w:t xml:space="preserve">Газоснабжение</w:t>
            </w:r>
            <w:r>
              <w:rPr>
                <w:rFonts w:ascii="Tinos" w:hAnsi="Tinos" w:cs="Tinos"/>
              </w:rPr>
            </w:r>
          </w:p>
          <w:p>
            <w:pPr>
              <w:pStyle w:val="669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cs="Tinos"/>
                <w:sz w:val="18"/>
                <w:szCs w:val="18"/>
              </w:rPr>
              <w:t xml:space="preserve">Водоснабжение</w:t>
            </w:r>
            <w:r>
              <w:rPr>
                <w:rFonts w:ascii="Tinos" w:hAnsi="Tinos" w:cs="Tinos"/>
                <w:sz w:val="18"/>
                <w:szCs w:val="18"/>
              </w:rPr>
              <w:t xml:space="preserve"> </w:t>
            </w:r>
            <w:r>
              <w:rPr>
                <w:rFonts w:ascii="Tinos" w:hAnsi="Tinos" w:cs="Tinos"/>
                <w:sz w:val="18"/>
                <w:szCs w:val="18"/>
              </w:rPr>
              <w:t xml:space="preserve">Водоотведение</w:t>
            </w:r>
            <w:r>
              <w:rPr>
                <w:rFonts w:ascii="Tinos" w:hAnsi="Tinos" w:cs="Tinos"/>
                <w:b/>
              </w:rPr>
              <w:t xml:space="preserve"> </w:t>
            </w:r>
            <w:r>
              <w:rPr>
                <w:rFonts w:ascii="Tinos" w:hAnsi="Tinos" w:cs="Tinos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nos" w:hAnsi="Tinos" w:cs="Tinos"/>
                <w:b/>
              </w:rPr>
            </w:pP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6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17,52</w:t>
            </w:r>
            <w:r/>
          </w:p>
        </w:tc>
      </w:tr>
      <w:tr>
        <w:trPr>
          <w:tblCellSpacing w:w="0" w:type="dxa"/>
          <w:trHeight w:val="179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vMerge w:val="continue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97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1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4 777,5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3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6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6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>
          <w:tblCellSpacing w:w="0" w:type="dxa"/>
          <w:trHeight w:val="179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с. Репное,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мкр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Успешный,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ул. Попутная, д. 7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ул. Попутная, д. 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1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2013</w:t>
            </w:r>
            <w:r/>
          </w:p>
          <w:p>
            <w:pPr>
              <w:pStyle w:val="669"/>
              <w:jc w:val="center"/>
            </w:pPr>
            <w:r>
              <w:t xml:space="preserve">2014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3</w:t>
            </w:r>
            <w:r/>
          </w:p>
          <w:p>
            <w:pPr>
              <w:pStyle w:val="669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6</w:t>
            </w:r>
            <w:r/>
          </w:p>
          <w:p>
            <w:pPr>
              <w:pStyle w:val="669"/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500,6</w:t>
            </w:r>
            <w:r/>
          </w:p>
          <w:p>
            <w:pPr>
              <w:pStyle w:val="669"/>
              <w:jc w:val="center"/>
            </w:pPr>
            <w:r>
              <w:t xml:space="preserve">684,8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3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6/ 270,3</w:t>
            </w:r>
            <w:r/>
          </w:p>
          <w:p>
            <w:pPr>
              <w:pStyle w:val="669"/>
              <w:jc w:val="center"/>
            </w:pPr>
            <w:r>
              <w:t xml:space="preserve">8/ 362,7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5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14,4</w:t>
            </w:r>
            <w:r/>
          </w:p>
          <w:p>
            <w:pPr>
              <w:pStyle w:val="669"/>
              <w:jc w:val="center"/>
            </w:pPr>
            <w:r>
              <w:t xml:space="preserve">19,2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6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  <w:rPr>
                <w:rFonts w:ascii="Tinos" w:hAnsi="Tinos" w:cs="Tinos"/>
                <w:sz w:val="18"/>
                <w:szCs w:val="18"/>
              </w:rPr>
            </w:pPr>
            <w:r>
              <w:rPr>
                <w:rFonts w:ascii="Tinos" w:hAnsi="Tinos" w:cs="Tinos"/>
                <w:sz w:val="18"/>
                <w:szCs w:val="18"/>
              </w:rPr>
              <w:t xml:space="preserve">Энергоснабжение</w:t>
            </w:r>
            <w:r>
              <w:rPr>
                <w:rFonts w:ascii="Tinos" w:hAnsi="Tinos" w:cs="Tinos"/>
              </w:rPr>
            </w:r>
          </w:p>
          <w:p>
            <w:pPr>
              <w:pStyle w:val="669"/>
              <w:jc w:val="center"/>
              <w:rPr>
                <w:rFonts w:ascii="Tinos" w:hAnsi="Tinos" w:cs="Tinos"/>
                <w:sz w:val="18"/>
                <w:szCs w:val="18"/>
              </w:rPr>
            </w:pPr>
            <w:r>
              <w:rPr>
                <w:rFonts w:ascii="Tinos" w:hAnsi="Tinos" w:cs="Tinos"/>
                <w:sz w:val="18"/>
                <w:szCs w:val="18"/>
              </w:rPr>
              <w:t xml:space="preserve">Газоснабжение</w:t>
            </w:r>
            <w:r>
              <w:rPr>
                <w:rFonts w:ascii="Tinos" w:hAnsi="Tinos" w:cs="Tinos"/>
              </w:rPr>
            </w:r>
          </w:p>
          <w:p>
            <w:pPr>
              <w:pStyle w:val="669"/>
              <w:jc w:val="center"/>
              <w:rPr>
                <w:rFonts w:ascii="Tinos" w:hAnsi="Tinos" w:cs="Tinos"/>
                <w:sz w:val="18"/>
                <w:szCs w:val="18"/>
              </w:rPr>
            </w:pPr>
            <w:r>
              <w:rPr>
                <w:rFonts w:ascii="Tinos" w:hAnsi="Tinos" w:cs="Tinos"/>
                <w:sz w:val="18"/>
                <w:szCs w:val="18"/>
              </w:rPr>
              <w:t xml:space="preserve">Водоснабжение</w:t>
            </w:r>
            <w:r>
              <w:rPr>
                <w:rFonts w:ascii="Tinos" w:hAnsi="Tinos" w:cs="Tinos"/>
                <w:sz w:val="18"/>
                <w:szCs w:val="18"/>
              </w:rPr>
              <w:t xml:space="preserve"> </w:t>
            </w:r>
            <w:r>
              <w:rPr>
                <w:rFonts w:ascii="Tinos" w:hAnsi="Tinos" w:cs="Tinos"/>
                <w:sz w:val="18"/>
                <w:szCs w:val="18"/>
              </w:rPr>
              <w:t xml:space="preserve">Водоотведение</w:t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6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17,52</w:t>
            </w:r>
            <w:r/>
          </w:p>
        </w:tc>
      </w:tr>
      <w:tr>
        <w:trPr>
          <w:tblCellSpacing w:w="0" w:type="dxa"/>
          <w:trHeight w:val="179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vMerge w:val="continue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97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1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1 185,4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3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6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6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>
          <w:tblCellSpacing w:w="0" w:type="dxa"/>
          <w:trHeight w:val="179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п. Дубовое,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мкр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Ново-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дубовской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ул. Кольцевая, д. 14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ул. Кольцевая, д. 14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к.2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1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2013</w:t>
            </w:r>
            <w:r/>
          </w:p>
          <w:p>
            <w:pPr>
              <w:pStyle w:val="669"/>
              <w:jc w:val="center"/>
            </w:pPr>
            <w:r>
              <w:t xml:space="preserve">201</w:t>
            </w:r>
            <w:r>
              <w:t xml:space="preserve">4</w:t>
            </w:r>
            <w:r/>
          </w:p>
          <w:p>
            <w:pPr>
              <w:pStyle w:val="669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3</w:t>
            </w:r>
            <w:r/>
          </w:p>
          <w:p>
            <w:pPr>
              <w:pStyle w:val="669"/>
              <w:jc w:val="center"/>
            </w:pPr>
            <w:r>
              <w:t xml:space="preserve">3</w:t>
            </w:r>
            <w:r/>
          </w:p>
          <w:p>
            <w:pPr>
              <w:pStyle w:val="669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9</w:t>
            </w:r>
            <w:r/>
          </w:p>
          <w:p>
            <w:pPr>
              <w:pStyle w:val="669"/>
              <w:jc w:val="center"/>
            </w:pPr>
            <w:r>
              <w:t xml:space="preserve">12</w:t>
            </w:r>
            <w:r/>
          </w:p>
          <w:p>
            <w:pPr>
              <w:pStyle w:val="669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597,6</w:t>
            </w:r>
            <w:r/>
          </w:p>
          <w:p>
            <w:pPr>
              <w:pStyle w:val="669"/>
              <w:jc w:val="center"/>
            </w:pPr>
            <w:r>
              <w:t xml:space="preserve">476,5</w:t>
            </w:r>
            <w:r/>
          </w:p>
          <w:p>
            <w:pPr>
              <w:pStyle w:val="669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3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2/ 92,3</w:t>
            </w:r>
            <w:r/>
          </w:p>
          <w:p>
            <w:pPr>
              <w:pStyle w:val="669"/>
              <w:jc w:val="center"/>
            </w:pPr>
            <w:r>
              <w:t xml:space="preserve">0</w:t>
            </w:r>
            <w:r/>
          </w:p>
          <w:p>
            <w:pPr>
              <w:pStyle w:val="669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5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92,3</w:t>
            </w:r>
            <w:r/>
          </w:p>
          <w:p>
            <w:pPr>
              <w:pStyle w:val="669"/>
              <w:jc w:val="center"/>
            </w:pPr>
            <w:r>
              <w:t xml:space="preserve">125,5</w:t>
            </w:r>
            <w:r/>
          </w:p>
          <w:p>
            <w:pPr>
              <w:pStyle w:val="669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6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  <w:rPr>
                <w:rFonts w:ascii="Tinos" w:hAnsi="Tinos" w:cs="Tinos"/>
                <w:sz w:val="18"/>
                <w:szCs w:val="18"/>
              </w:rPr>
            </w:pPr>
            <w:r>
              <w:rPr>
                <w:rFonts w:ascii="Tinos" w:hAnsi="Tinos" w:cs="Tinos"/>
                <w:sz w:val="18"/>
                <w:szCs w:val="18"/>
              </w:rPr>
              <w:t xml:space="preserve">Энергоснабжение</w:t>
            </w:r>
            <w:r>
              <w:rPr>
                <w:rFonts w:ascii="Tinos" w:hAnsi="Tinos" w:cs="Tinos"/>
              </w:rPr>
            </w:r>
          </w:p>
          <w:p>
            <w:pPr>
              <w:pStyle w:val="669"/>
              <w:jc w:val="center"/>
              <w:rPr>
                <w:rFonts w:ascii="Tinos" w:hAnsi="Tinos" w:cs="Tinos"/>
                <w:sz w:val="18"/>
                <w:szCs w:val="18"/>
              </w:rPr>
            </w:pPr>
            <w:r>
              <w:rPr>
                <w:rFonts w:ascii="Tinos" w:hAnsi="Tinos" w:cs="Tinos"/>
                <w:sz w:val="18"/>
                <w:szCs w:val="18"/>
              </w:rPr>
              <w:t xml:space="preserve">Газоснабжение</w:t>
            </w:r>
            <w:r>
              <w:rPr>
                <w:rFonts w:ascii="Tinos" w:hAnsi="Tinos" w:cs="Tinos"/>
              </w:rPr>
            </w:r>
          </w:p>
          <w:p>
            <w:pPr>
              <w:pStyle w:val="669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18"/>
                <w:szCs w:val="18"/>
              </w:rPr>
              <w:t xml:space="preserve">Водоснабжение</w:t>
            </w:r>
            <w:r>
              <w:rPr>
                <w:rFonts w:ascii="Tinos" w:hAnsi="Tinos" w:cs="Tinos"/>
                <w:sz w:val="18"/>
                <w:szCs w:val="18"/>
              </w:rPr>
              <w:t xml:space="preserve"> </w:t>
            </w:r>
            <w:r>
              <w:rPr>
                <w:rFonts w:ascii="Tinos" w:hAnsi="Tinos" w:cs="Tinos"/>
                <w:sz w:val="18"/>
                <w:szCs w:val="18"/>
              </w:rPr>
              <w:t xml:space="preserve">Водоотведение</w:t>
            </w:r>
            <w:r>
              <w:rPr>
                <w:rFonts w:ascii="Tinos" w:hAnsi="Tinos" w:cs="Tinos"/>
              </w:rPr>
              <w:t xml:space="preserve"> </w:t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6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17,52</w:t>
            </w:r>
            <w:r/>
          </w:p>
        </w:tc>
      </w:tr>
      <w:tr>
        <w:trPr>
          <w:tblCellSpacing w:w="0" w:type="dxa"/>
          <w:trHeight w:val="179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vMerge w:val="continue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97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1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1 074,1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3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6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6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>
          <w:tblCellSpacing w:w="0" w:type="dxa"/>
          <w:trHeight w:val="179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с. Крутой Лог,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ул. Октябрьская, д. 1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ул. Октябрьская, д. 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1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1980</w:t>
            </w:r>
            <w:r/>
          </w:p>
          <w:p>
            <w:pPr>
              <w:pStyle w:val="669"/>
              <w:jc w:val="center"/>
            </w:pPr>
            <w:r>
              <w:t xml:space="preserve">1980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3/ 3</w:t>
            </w:r>
            <w:r/>
          </w:p>
          <w:p>
            <w:pPr>
              <w:pStyle w:val="669"/>
              <w:jc w:val="center"/>
            </w:pPr>
            <w:r>
              <w:t xml:space="preserve">3/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27</w:t>
            </w:r>
            <w:r/>
          </w:p>
          <w:p>
            <w:pPr>
              <w:pStyle w:val="669"/>
              <w:jc w:val="center"/>
            </w:pPr>
            <w:r>
              <w:t xml:space="preserve">27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1 189,6</w:t>
            </w:r>
            <w:r/>
          </w:p>
          <w:p>
            <w:pPr>
              <w:pStyle w:val="669"/>
              <w:jc w:val="center"/>
            </w:pPr>
            <w:r>
              <w:t xml:space="preserve">1 183,1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3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0</w:t>
            </w:r>
            <w:r/>
          </w:p>
          <w:p>
            <w:pPr>
              <w:pStyle w:val="669"/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5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580,</w:t>
            </w:r>
            <w:r>
              <w:t xml:space="preserve">5</w:t>
            </w:r>
            <w:r/>
          </w:p>
          <w:p>
            <w:pPr>
              <w:pStyle w:val="669"/>
              <w:jc w:val="center"/>
            </w:pPr>
            <w:r>
              <w:t xml:space="preserve">579,8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6" w:type="dxa"/>
            <w:vAlign w:val="bottom"/>
            <w:textDirection w:val="lrTb"/>
            <w:noWrap w:val="false"/>
          </w:tcPr>
          <w:p>
            <w:pPr>
              <w:pStyle w:val="669"/>
              <w:jc w:val="center"/>
              <w:rPr>
                <w:rFonts w:ascii="Tinos" w:hAnsi="Tinos" w:cs="Tinos"/>
                <w:sz w:val="18"/>
                <w:szCs w:val="18"/>
              </w:rPr>
            </w:pPr>
            <w:r>
              <w:rPr>
                <w:rFonts w:ascii="Tinos" w:hAnsi="Tinos" w:cs="Tinos"/>
                <w:sz w:val="18"/>
                <w:szCs w:val="18"/>
              </w:rPr>
              <w:t xml:space="preserve">Т</w:t>
            </w:r>
            <w:r>
              <w:rPr>
                <w:rFonts w:ascii="Tinos" w:hAnsi="Tinos" w:cs="Tinos"/>
                <w:sz w:val="18"/>
                <w:szCs w:val="18"/>
              </w:rPr>
              <w:t xml:space="preserve">еплоснабжение</w:t>
            </w:r>
            <w:r>
              <w:rPr>
                <w:rFonts w:ascii="Tinos" w:hAnsi="Tinos" w:cs="Tinos"/>
                <w:sz w:val="18"/>
                <w:szCs w:val="18"/>
              </w:rPr>
              <w:t xml:space="preserve"> </w:t>
            </w:r>
            <w:r>
              <w:rPr>
                <w:rFonts w:ascii="Tinos" w:hAnsi="Tinos" w:cs="Tinos"/>
                <w:sz w:val="18"/>
                <w:szCs w:val="18"/>
              </w:rPr>
              <w:t xml:space="preserve">Энергоснабжение</w:t>
            </w:r>
            <w:r>
              <w:rPr>
                <w:rFonts w:ascii="Tinos" w:hAnsi="Tinos" w:cs="Tinos"/>
              </w:rPr>
            </w:r>
          </w:p>
          <w:p>
            <w:pPr>
              <w:pStyle w:val="669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18"/>
                <w:szCs w:val="18"/>
              </w:rPr>
              <w:t xml:space="preserve">Газоснабжение</w:t>
            </w:r>
            <w:r>
              <w:rPr>
                <w:rFonts w:ascii="Tinos" w:hAnsi="Tinos" w:cs="Tinos"/>
                <w:sz w:val="18"/>
                <w:szCs w:val="18"/>
              </w:rPr>
              <w:t xml:space="preserve"> </w:t>
            </w:r>
            <w:r>
              <w:rPr>
                <w:rFonts w:ascii="Tinos" w:hAnsi="Tinos" w:cs="Tinos"/>
                <w:sz w:val="18"/>
                <w:szCs w:val="18"/>
              </w:rPr>
              <w:t xml:space="preserve">Водоснабжение</w:t>
            </w:r>
            <w:r>
              <w:rPr>
                <w:rFonts w:ascii="Tinos" w:hAnsi="Tinos" w:cs="Tinos"/>
                <w:sz w:val="18"/>
                <w:szCs w:val="18"/>
              </w:rPr>
              <w:t xml:space="preserve"> </w:t>
            </w:r>
            <w:r>
              <w:rPr>
                <w:rFonts w:ascii="Tinos" w:hAnsi="Tinos" w:cs="Tinos"/>
                <w:sz w:val="18"/>
                <w:szCs w:val="18"/>
              </w:rPr>
              <w:t xml:space="preserve">Водоотведение</w:t>
            </w:r>
            <w:r>
              <w:rPr>
                <w:rFonts w:ascii="Tinos" w:hAnsi="Tinos" w:cs="Tinos"/>
              </w:rPr>
              <w:t xml:space="preserve"> </w:t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6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18,13</w:t>
            </w:r>
            <w:r/>
          </w:p>
        </w:tc>
      </w:tr>
      <w:tr>
        <w:trPr>
          <w:tblCellSpacing w:w="0" w:type="dxa"/>
          <w:trHeight w:val="179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vMerge w:val="continue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97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1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/>
            <w:bookmarkStart w:id="0" w:name="_GoBack"/>
            <w:r>
              <w:rPr>
                <w:rFonts w:ascii="Times New Roman" w:hAnsi="Times New Roman"/>
                <w:b/>
              </w:rPr>
              <w:t xml:space="preserve">2 372,7</w:t>
            </w:r>
            <w:bookmarkEnd w:id="0"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3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0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5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6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6" w:type="dxa"/>
            <w:vAlign w:val="bottom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</w:tr>
    </w:tbl>
    <w:p>
      <w:pPr>
        <w:ind w:firstLine="547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ind w:firstLine="54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Наименовани</w:t>
      </w:r>
      <w:r>
        <w:rPr>
          <w:rFonts w:ascii="Times New Roman" w:hAnsi="Times New Roman"/>
          <w:b/>
          <w:bCs/>
          <w:sz w:val="24"/>
          <w:szCs w:val="24"/>
        </w:rPr>
        <w:t xml:space="preserve">е</w:t>
      </w:r>
      <w:r>
        <w:rPr>
          <w:rFonts w:ascii="Times New Roman" w:hAnsi="Times New Roman"/>
          <w:b/>
          <w:bCs/>
          <w:sz w:val="24"/>
          <w:szCs w:val="24"/>
        </w:rPr>
        <w:t xml:space="preserve"> работ и услуг по содержанию и ремонту объект</w:t>
      </w:r>
      <w:r>
        <w:rPr>
          <w:rFonts w:ascii="Times New Roman" w:hAnsi="Times New Roman"/>
          <w:b/>
          <w:bCs/>
          <w:sz w:val="24"/>
          <w:szCs w:val="24"/>
        </w:rPr>
        <w:t xml:space="preserve">ов</w:t>
      </w:r>
      <w:r>
        <w:rPr>
          <w:rFonts w:ascii="Times New Roman" w:hAnsi="Times New Roman"/>
          <w:b/>
          <w:bCs/>
          <w:sz w:val="24"/>
          <w:szCs w:val="24"/>
        </w:rPr>
        <w:t xml:space="preserve"> конкурса, выполняемых (оказываемых) по договору управления многоквартирным домом:</w:t>
      </w:r>
      <w:r/>
    </w:p>
    <w:p>
      <w:pPr>
        <w:ind w:firstLine="54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по содержанию несущих конструкций и конструктивных элементов МКД,  проведение общих и частичных технических осмотров здани</w:t>
      </w:r>
      <w:r>
        <w:rPr>
          <w:rFonts w:ascii="Times New Roman" w:hAnsi="Times New Roman"/>
          <w:sz w:val="24"/>
          <w:szCs w:val="24"/>
        </w:rPr>
        <w:t xml:space="preserve">я, содержание и техническое обслуживание общего имущества МКД, внутридомовых инженерных коммуникаций, устранение незначительных неисправностей систем внутреннего водопровода, канализации, канализационных вытяжек, дымовентиляционных каналов, кровельного пок</w:t>
      </w:r>
      <w:r>
        <w:rPr>
          <w:rFonts w:ascii="Times New Roman" w:hAnsi="Times New Roman"/>
          <w:sz w:val="24"/>
          <w:szCs w:val="24"/>
        </w:rPr>
        <w:t xml:space="preserve">рытия, текущее содержание помещений общего пользования, содержание придомовой территории, подметание земельного участка в летний период, уборка, полив, сезонное выкашивание газонов, очистка урн от мусора, сдвижка и подметание снега на придомовой территории</w:t>
      </w:r>
      <w:r>
        <w:rPr>
          <w:rFonts w:ascii="Times New Roman" w:hAnsi="Times New Roman"/>
          <w:sz w:val="24"/>
          <w:szCs w:val="24"/>
        </w:rPr>
        <w:t xml:space="preserve"> в зимний период</w:t>
      </w:r>
      <w:r>
        <w:rPr>
          <w:rFonts w:ascii="Times New Roman" w:hAnsi="Times New Roman"/>
          <w:sz w:val="24"/>
          <w:szCs w:val="24"/>
        </w:rPr>
        <w:t xml:space="preserve">, посыпка территории песком или </w:t>
      </w:r>
      <w:r>
        <w:rPr>
          <w:rFonts w:ascii="Times New Roman" w:hAnsi="Times New Roman"/>
          <w:sz w:val="24"/>
          <w:szCs w:val="24"/>
        </w:rPr>
        <w:t xml:space="preserve">песко</w:t>
      </w:r>
      <w:r>
        <w:rPr>
          <w:rFonts w:ascii="Times New Roman" w:hAnsi="Times New Roman"/>
          <w:sz w:val="24"/>
          <w:szCs w:val="24"/>
        </w:rPr>
        <w:t xml:space="preserve">-соляной смесью, очистка территории от </w:t>
      </w:r>
      <w:r>
        <w:rPr>
          <w:rFonts w:ascii="Times New Roman" w:hAnsi="Times New Roman"/>
          <w:sz w:val="24"/>
          <w:szCs w:val="24"/>
        </w:rPr>
        <w:t xml:space="preserve">снега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наледи,</w:t>
      </w:r>
      <w:r>
        <w:rPr>
          <w:rFonts w:ascii="Times New Roman" w:hAnsi="Times New Roman"/>
          <w:sz w:val="24"/>
          <w:szCs w:val="24"/>
        </w:rPr>
        <w:t xml:space="preserve"> очистка крыш и козырьков от снега и наледи, благоустройство придомовой территории, аварийно-диспетчерское обслуживание внутридомовых инженерных сет</w:t>
      </w:r>
      <w:r>
        <w:rPr>
          <w:rFonts w:ascii="Times New Roman" w:hAnsi="Times New Roman"/>
          <w:sz w:val="24"/>
          <w:szCs w:val="24"/>
        </w:rPr>
        <w:t xml:space="preserve">ей</w:t>
      </w:r>
      <w:r>
        <w:rPr>
          <w:rFonts w:ascii="Times New Roman" w:hAnsi="Times New Roman"/>
          <w:sz w:val="24"/>
          <w:szCs w:val="24"/>
        </w:rPr>
        <w:t xml:space="preserve">, проведение текущего ремонта общего имущества жилого дома, дератизация, дезинсекция подвалов, чердаков</w:t>
      </w:r>
      <w:r>
        <w:rPr>
          <w:rFonts w:ascii="Times New Roman" w:hAnsi="Times New Roman"/>
          <w:sz w:val="24"/>
          <w:szCs w:val="24"/>
        </w:rPr>
        <w:t xml:space="preserve"> (в зависимости от </w:t>
      </w:r>
      <w:r>
        <w:rPr>
          <w:rFonts w:ascii="Times New Roman" w:hAnsi="Times New Roman"/>
          <w:sz w:val="24"/>
          <w:szCs w:val="24"/>
        </w:rPr>
        <w:t xml:space="preserve">конструктива</w:t>
      </w:r>
      <w:r>
        <w:rPr>
          <w:rFonts w:ascii="Times New Roman" w:hAnsi="Times New Roman"/>
          <w:sz w:val="24"/>
          <w:szCs w:val="24"/>
        </w:rPr>
        <w:t xml:space="preserve"> дома)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ind w:firstLine="547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ind w:firstLine="547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Перечень коммунальных услуг, предоставляемых управляющей организацией (в зависимости от степени благоустройства дома):</w:t>
      </w:r>
      <w:r/>
    </w:p>
    <w:p>
      <w:pPr>
        <w:pStyle w:val="668"/>
        <w:ind w:left="-720" w:firstLine="54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одоснабжение,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водоотведение, э</w:t>
      </w:r>
      <w:r>
        <w:rPr>
          <w:rFonts w:ascii="Times New Roman" w:hAnsi="Times New Roman"/>
          <w:sz w:val="24"/>
          <w:szCs w:val="24"/>
        </w:rPr>
        <w:t xml:space="preserve">лектр</w:t>
      </w:r>
      <w:r>
        <w:rPr>
          <w:rFonts w:ascii="Times New Roman" w:hAnsi="Times New Roman"/>
          <w:sz w:val="24"/>
          <w:szCs w:val="24"/>
        </w:rPr>
        <w:t xml:space="preserve">оснабжение, газоснабжение</w:t>
      </w:r>
      <w:r>
        <w:rPr>
          <w:rFonts w:ascii="Times New Roman" w:hAnsi="Times New Roman"/>
          <w:sz w:val="24"/>
          <w:szCs w:val="24"/>
        </w:rPr>
        <w:t xml:space="preserve">, теплоснабжение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47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ind w:firstLine="54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Срок, место и порядок предоставления конкурсной документации:</w:t>
      </w:r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ind w:firstLine="54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Конкурсную документаци</w:t>
      </w:r>
      <w:r>
        <w:rPr>
          <w:rFonts w:ascii="Times New Roman" w:hAnsi="Times New Roman"/>
          <w:sz w:val="24"/>
          <w:szCs w:val="24"/>
        </w:rPr>
        <w:t xml:space="preserve">ю можно получить на официальном </w:t>
      </w:r>
      <w:r>
        <w:rPr>
          <w:rFonts w:ascii="Times New Roman" w:hAnsi="Times New Roman"/>
          <w:sz w:val="24"/>
          <w:szCs w:val="24"/>
        </w:rPr>
        <w:t xml:space="preserve">сайте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www.torgi.gov.ru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color w:val="000000"/>
          <w:sz w:val="24"/>
          <w:szCs w:val="24"/>
        </w:rPr>
        <w:t xml:space="preserve">официальном сайте </w:t>
      </w:r>
      <w:r>
        <w:rPr>
          <w:rFonts w:ascii="Times New Roman" w:hAnsi="Times New Roman"/>
          <w:sz w:val="24"/>
          <w:szCs w:val="24"/>
        </w:rPr>
        <w:t xml:space="preserve">органов местного самоуправления «Белгородский район» Белгородской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1" w:tooltip="https://belgorodskij-r31.gosuslugi.ru" w:history="1">
        <w:r>
          <w:rPr>
            <w:rStyle w:val="659"/>
            <w:rFonts w:ascii="Times New Roman" w:hAnsi="Times New Roman"/>
            <w:b/>
            <w:sz w:val="24"/>
            <w:szCs w:val="24"/>
            <w:u w:val="none"/>
            <w:lang w:val="en-US"/>
          </w:rPr>
          <w:t xml:space="preserve">https</w:t>
        </w:r>
        <w:r>
          <w:rPr>
            <w:rStyle w:val="659"/>
            <w:rFonts w:ascii="Times New Roman" w:hAnsi="Times New Roman"/>
            <w:b/>
            <w:sz w:val="24"/>
            <w:szCs w:val="24"/>
            <w:u w:val="none"/>
          </w:rPr>
          <w:t xml:space="preserve">://</w:t>
        </w:r>
        <w:r>
          <w:rPr>
            <w:rStyle w:val="659"/>
            <w:rFonts w:ascii="Times New Roman" w:hAnsi="Times New Roman"/>
            <w:b/>
            <w:sz w:val="24"/>
            <w:szCs w:val="24"/>
            <w:u w:val="none"/>
            <w:lang w:val="en-US"/>
          </w:rPr>
          <w:t xml:space="preserve">belgorodskij</w:t>
        </w:r>
        <w:r>
          <w:rPr>
            <w:rStyle w:val="659"/>
            <w:rFonts w:ascii="Times New Roman" w:hAnsi="Times New Roman"/>
            <w:b/>
            <w:sz w:val="24"/>
            <w:szCs w:val="24"/>
            <w:u w:val="none"/>
          </w:rPr>
          <w:t xml:space="preserve">-</w:t>
        </w:r>
        <w:r>
          <w:rPr>
            <w:rStyle w:val="659"/>
            <w:rFonts w:ascii="Times New Roman" w:hAnsi="Times New Roman"/>
            <w:b/>
            <w:sz w:val="24"/>
            <w:szCs w:val="24"/>
            <w:u w:val="none"/>
            <w:lang w:val="en-US"/>
          </w:rPr>
          <w:t xml:space="preserve">r</w:t>
        </w:r>
        <w:r>
          <w:rPr>
            <w:rStyle w:val="659"/>
            <w:rFonts w:ascii="Times New Roman" w:hAnsi="Times New Roman"/>
            <w:b/>
            <w:sz w:val="24"/>
            <w:szCs w:val="24"/>
            <w:u w:val="none"/>
          </w:rPr>
          <w:t xml:space="preserve">31.</w:t>
        </w:r>
        <w:r>
          <w:rPr>
            <w:rStyle w:val="659"/>
            <w:rFonts w:ascii="Times New Roman" w:hAnsi="Times New Roman"/>
            <w:b/>
            <w:sz w:val="24"/>
            <w:szCs w:val="24"/>
            <w:u w:val="none"/>
            <w:lang w:val="en-US"/>
          </w:rPr>
          <w:t xml:space="preserve">gosuslugi</w:t>
        </w:r>
        <w:r>
          <w:rPr>
            <w:rStyle w:val="659"/>
            <w:rFonts w:ascii="Times New Roman" w:hAnsi="Times New Roman"/>
            <w:b/>
            <w:sz w:val="24"/>
            <w:szCs w:val="24"/>
            <w:u w:val="none"/>
          </w:rPr>
          <w:t xml:space="preserve">.</w:t>
        </w:r>
        <w:r>
          <w:rPr>
            <w:rStyle w:val="659"/>
            <w:rFonts w:ascii="Times New Roman" w:hAnsi="Times New Roman"/>
            <w:b/>
            <w:sz w:val="24"/>
            <w:szCs w:val="24"/>
            <w:u w:val="none"/>
            <w:lang w:val="en-US"/>
          </w:rPr>
          <w:t xml:space="preserve">ru</w:t>
        </w:r>
      </w:hyperlink>
      <w:r>
        <w:rPr>
          <w:rFonts w:ascii="Times New Roman" w:hAnsi="Times New Roman"/>
          <w:sz w:val="24"/>
          <w:szCs w:val="24"/>
        </w:rPr>
        <w:t xml:space="preserve">, либо у </w:t>
      </w:r>
      <w:r>
        <w:rPr>
          <w:rFonts w:ascii="Times New Roman" w:hAnsi="Times New Roman"/>
          <w:sz w:val="24"/>
          <w:szCs w:val="24"/>
        </w:rPr>
        <w:t xml:space="preserve">секретаря постоянно действующей конкурсной комиссии для проведения открытых конкурсов по отбору управляющих организаций для управления многоквартирными дом</w:t>
      </w:r>
      <w:r>
        <w:rPr>
          <w:rFonts w:ascii="Times New Roman" w:hAnsi="Times New Roman"/>
          <w:sz w:val="24"/>
          <w:szCs w:val="24"/>
        </w:rPr>
        <w:t xml:space="preserve">ами после письменного запроса в </w:t>
      </w:r>
      <w:r>
        <w:rPr>
          <w:rFonts w:ascii="Times New Roman" w:hAnsi="Times New Roman"/>
          <w:sz w:val="24"/>
          <w:szCs w:val="24"/>
        </w:rPr>
        <w:t xml:space="preserve">рабочие дни недели ежедневно с 9:00 до 1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 часов (перерыв</w:t>
      </w:r>
      <w:r>
        <w:rPr>
          <w:rFonts w:ascii="Times New Roman" w:hAnsi="Times New Roman"/>
          <w:sz w:val="24"/>
          <w:szCs w:val="24"/>
        </w:rPr>
        <w:t xml:space="preserve"> с 13:00 до14:00 часов)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Белгородского района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г. </w:t>
      </w:r>
      <w:r>
        <w:rPr>
          <w:rFonts w:ascii="Times New Roman" w:hAnsi="Times New Roman"/>
          <w:sz w:val="24"/>
          <w:szCs w:val="24"/>
        </w:rPr>
        <w:t xml:space="preserve">Белгород</w:t>
      </w:r>
      <w:r>
        <w:rPr>
          <w:rFonts w:ascii="Times New Roman" w:hAnsi="Times New Roman"/>
          <w:sz w:val="24"/>
          <w:szCs w:val="24"/>
        </w:rPr>
        <w:t xml:space="preserve">, ул. </w:t>
      </w:r>
      <w:r>
        <w:rPr>
          <w:rFonts w:ascii="Times New Roman" w:hAnsi="Times New Roman"/>
          <w:sz w:val="24"/>
          <w:szCs w:val="24"/>
        </w:rPr>
        <w:t xml:space="preserve">Шершнева</w:t>
      </w:r>
      <w:r>
        <w:rPr>
          <w:rFonts w:ascii="Times New Roman" w:hAnsi="Times New Roman"/>
          <w:sz w:val="24"/>
          <w:szCs w:val="24"/>
        </w:rPr>
        <w:t xml:space="preserve"> д. </w:t>
      </w:r>
      <w:r>
        <w:rPr>
          <w:rFonts w:ascii="Times New Roman" w:hAnsi="Times New Roman"/>
          <w:sz w:val="24"/>
          <w:szCs w:val="24"/>
        </w:rPr>
        <w:t xml:space="preserve">1а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каб</w:t>
      </w:r>
      <w:r>
        <w:rPr>
          <w:rFonts w:ascii="Times New Roman" w:hAnsi="Times New Roman"/>
          <w:sz w:val="24"/>
          <w:szCs w:val="24"/>
        </w:rPr>
        <w:t xml:space="preserve">. 1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Для получения конкурсной документации в электронном виде </w:t>
      </w:r>
      <w:r>
        <w:rPr>
          <w:rFonts w:ascii="Times New Roman" w:hAnsi="Times New Roman"/>
          <w:sz w:val="24"/>
          <w:szCs w:val="24"/>
        </w:rPr>
        <w:t xml:space="preserve">необходимо указать свой электронный адрес</w:t>
      </w:r>
      <w:r>
        <w:rPr>
          <w:rFonts w:ascii="Times New Roman" w:hAnsi="Times New Roman"/>
          <w:sz w:val="24"/>
          <w:szCs w:val="24"/>
        </w:rPr>
        <w:t xml:space="preserve">. Плата за предоставление конкурсной документации не взимается.</w:t>
      </w:r>
      <w:r/>
    </w:p>
    <w:p>
      <w:pPr>
        <w:ind w:firstLine="54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547"/>
        <w:jc w:val="both"/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Адрес официального сайта, на котором размещена конкурсная документация: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12" w:tooltip="http://www.torgi.gov.ru/" w:history="1">
        <w:r>
          <w:rPr>
            <w:rFonts w:ascii="Times New Roman" w:hAnsi="Times New Roman"/>
            <w:color w:val="000000"/>
            <w:sz w:val="24"/>
            <w:szCs w:val="24"/>
            <w:lang w:val="en-US"/>
          </w:rPr>
          <w:t xml:space="preserve">www</w:t>
        </w:r>
        <w:r>
          <w:rPr>
            <w:rFonts w:ascii="Times New Roman" w:hAnsi="Times New Roman"/>
            <w:color w:val="000000"/>
            <w:sz w:val="24"/>
            <w:szCs w:val="24"/>
          </w:rPr>
          <w:t xml:space="preserve">.</w:t>
        </w:r>
        <w:r>
          <w:rPr>
            <w:rFonts w:ascii="Times New Roman" w:hAnsi="Times New Roman"/>
            <w:color w:val="000000"/>
            <w:sz w:val="24"/>
            <w:szCs w:val="24"/>
            <w:lang w:val="en-US"/>
          </w:rPr>
          <w:t xml:space="preserve">torgi</w:t>
        </w:r>
        <w:r>
          <w:rPr>
            <w:rFonts w:ascii="Times New Roman" w:hAnsi="Times New Roman"/>
            <w:color w:val="000000"/>
            <w:sz w:val="24"/>
            <w:szCs w:val="24"/>
          </w:rPr>
          <w:t xml:space="preserve">.</w:t>
        </w:r>
        <w:r>
          <w:rPr>
            <w:rFonts w:ascii="Times New Roman" w:hAnsi="Times New Roman"/>
            <w:color w:val="000000"/>
            <w:sz w:val="24"/>
            <w:szCs w:val="24"/>
            <w:lang w:val="en-US"/>
          </w:rPr>
          <w:t xml:space="preserve">gov</w:t>
        </w:r>
        <w:r>
          <w:rPr>
            <w:rFonts w:ascii="Times New Roman" w:hAnsi="Times New Roman"/>
            <w:color w:val="000000"/>
            <w:sz w:val="24"/>
            <w:szCs w:val="24"/>
          </w:rPr>
          <w:t xml:space="preserve">.</w:t>
        </w:r>
        <w:r>
          <w:rPr>
            <w:rFonts w:ascii="Times New Roman" w:hAnsi="Times New Roman"/>
            <w:color w:val="000000"/>
            <w:sz w:val="24"/>
            <w:szCs w:val="24"/>
            <w:lang w:val="en-US"/>
          </w:rPr>
          <w:t xml:space="preserve">ru</w:t>
        </w:r>
      </w:hyperlink>
      <w:r/>
      <w:r/>
    </w:p>
    <w:p>
      <w:pPr>
        <w:ind w:firstLine="567"/>
        <w:jc w:val="both"/>
        <w:spacing w:before="100" w:beforeAutospacing="1" w:after="0" w:line="240" w:lineRule="auto"/>
        <w:rPr>
          <w:rFonts w:ascii="Times New Roman" w:hAnsi="Times New Roman"/>
          <w:b/>
          <w:bCs/>
          <w:sz w:val="2"/>
          <w:szCs w:val="2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Место, порядок и срок подачи заявок на участие в конкурсе: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Заинтересованное лицо подает в письменной форме заявку на участие в конкурсе секретарю постоянно действующей конкурсной комиссии для проведения открытых конкурсов по отбору управляющих организаций для управления многоквартирными домами в рабочие дни недели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ежедневно с 9:00 до 1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0 часов (перерыв с 13:00 до 14:00 часов) по адресу: </w:t>
      </w:r>
      <w:r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Белгород</w:t>
      </w:r>
      <w:r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 xml:space="preserve">Шершнева</w:t>
      </w:r>
      <w:r>
        <w:rPr>
          <w:rFonts w:ascii="Times New Roman" w:hAnsi="Times New Roman"/>
          <w:sz w:val="24"/>
          <w:szCs w:val="24"/>
        </w:rPr>
        <w:t xml:space="preserve"> д. </w:t>
      </w:r>
      <w:r>
        <w:rPr>
          <w:rFonts w:ascii="Times New Roman" w:hAnsi="Times New Roman"/>
          <w:sz w:val="24"/>
          <w:szCs w:val="24"/>
        </w:rPr>
        <w:t xml:space="preserve">1а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каб</w:t>
      </w:r>
      <w:r>
        <w:rPr>
          <w:rFonts w:ascii="Times New Roman" w:hAnsi="Times New Roman"/>
          <w:sz w:val="24"/>
          <w:szCs w:val="24"/>
        </w:rPr>
        <w:t xml:space="preserve">. 1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дминистраци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Белгородского района</w:t>
      </w:r>
      <w:r>
        <w:rPr>
          <w:rFonts w:ascii="Times New Roman" w:hAnsi="Times New Roman"/>
          <w:sz w:val="24"/>
          <w:szCs w:val="24"/>
        </w:rPr>
        <w:t xml:space="preserve">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листы заявки (тома заявки) на участие в конкурсе должны быть прошиты и пронумерованы. Заявка на участие в конкурсе подается </w:t>
      </w:r>
      <w:r>
        <w:rPr>
          <w:rFonts w:ascii="Times New Roman" w:hAnsi="Times New Roman"/>
          <w:sz w:val="24"/>
          <w:szCs w:val="24"/>
        </w:rPr>
        <w:t xml:space="preserve">в </w:t>
      </w:r>
      <w:r>
        <w:rPr>
          <w:rFonts w:ascii="Times New Roman" w:hAnsi="Times New Roman"/>
          <w:sz w:val="24"/>
          <w:szCs w:val="24"/>
        </w:rPr>
        <w:t xml:space="preserve">закрытом к</w:t>
      </w:r>
      <w:r>
        <w:rPr>
          <w:rFonts w:ascii="Times New Roman" w:hAnsi="Times New Roman"/>
          <w:sz w:val="24"/>
          <w:szCs w:val="24"/>
        </w:rPr>
        <w:t xml:space="preserve">онверте и должна содержать опись входящих в ее состав (состав тома) документов, быть скреплена печатью участника размещения заказа (для юридических лиц) и подписана участником размещения заказа или лицом, уполномоченным таким участником размещения заказа.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 заявок на участие в конкурсе прекращается непосредственно перед началом процедуры вскрытия конвертов.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9. Дата и время проведения осмотра претендентами объекта конкурса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eastAsia="Times New Roman CYR"/>
          <w:bCs/>
          <w:sz w:val="24"/>
          <w:szCs w:val="24"/>
        </w:rPr>
        <w:t xml:space="preserve">осмотры проводятся по письм</w:t>
      </w:r>
      <w:r>
        <w:rPr>
          <w:rFonts w:ascii="Times New Roman" w:hAnsi="Times New Roman" w:eastAsia="Times New Roman CYR"/>
          <w:bCs/>
          <w:sz w:val="24"/>
          <w:szCs w:val="24"/>
        </w:rPr>
        <w:t xml:space="preserve">енному заявлению претендента на </w:t>
      </w:r>
      <w:r>
        <w:rPr>
          <w:rFonts w:ascii="Times New Roman" w:hAnsi="Times New Roman" w:eastAsia="Times New Roman CYR"/>
          <w:bCs/>
          <w:sz w:val="24"/>
          <w:szCs w:val="24"/>
        </w:rPr>
        <w:t xml:space="preserve">участие в конкурсе</w:t>
      </w:r>
      <w:r>
        <w:rPr>
          <w:rFonts w:ascii="Times New Roman" w:hAnsi="Times New Roman" w:eastAsia="Times New Roman CYR"/>
          <w:bCs/>
          <w:sz w:val="24"/>
          <w:szCs w:val="24"/>
        </w:rPr>
        <w:t xml:space="preserve"> по четвергам</w:t>
      </w:r>
      <w:r>
        <w:rPr>
          <w:rFonts w:ascii="Times New Roman" w:hAnsi="Times New Roman" w:eastAsia="Times New Roman CYR"/>
          <w:bCs/>
          <w:sz w:val="24"/>
          <w:szCs w:val="24"/>
        </w:rPr>
        <w:t xml:space="preserve">:</w:t>
      </w:r>
      <w:r>
        <w:rPr>
          <w:rFonts w:ascii="Times New Roman" w:hAnsi="Times New Roman" w:eastAsia="Times New Roman CYR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Times New Roman CYR"/>
          <w:bCs/>
          <w:i/>
          <w:sz w:val="24"/>
          <w:szCs w:val="24"/>
        </w:rPr>
        <w:t xml:space="preserve"> 2</w:t>
      </w:r>
      <w:r>
        <w:rPr>
          <w:rFonts w:ascii="Times New Roman" w:hAnsi="Times New Roman" w:eastAsia="Times New Roman CYR"/>
          <w:bCs/>
          <w:i/>
          <w:sz w:val="24"/>
          <w:szCs w:val="24"/>
        </w:rPr>
        <w:t xml:space="preserve">2,</w:t>
      </w:r>
      <w:r>
        <w:rPr>
          <w:rFonts w:ascii="Times New Roman" w:hAnsi="Times New Roman" w:eastAsia="Times New Roman CYR"/>
          <w:bCs/>
          <w:i/>
          <w:sz w:val="24"/>
          <w:szCs w:val="24"/>
        </w:rPr>
        <w:t xml:space="preserve"> </w:t>
      </w:r>
      <w:r>
        <w:rPr>
          <w:rFonts w:ascii="Times New Roman" w:hAnsi="Times New Roman" w:eastAsia="Times New Roman CYR"/>
          <w:bCs/>
          <w:i/>
          <w:sz w:val="24"/>
          <w:szCs w:val="24"/>
        </w:rPr>
        <w:t xml:space="preserve">29, мая, 5</w:t>
      </w:r>
      <w:r>
        <w:rPr>
          <w:rFonts w:ascii="Times New Roman" w:hAnsi="Times New Roman" w:eastAsia="Times New Roman CYR"/>
          <w:bCs/>
          <w:i/>
          <w:sz w:val="24"/>
          <w:szCs w:val="24"/>
        </w:rPr>
        <w:t xml:space="preserve">, 19 июня</w:t>
      </w:r>
      <w:r>
        <w:rPr>
          <w:rFonts w:ascii="Times New Roman" w:hAnsi="Times New Roman" w:eastAsia="Times New Roman CYR"/>
          <w:bCs/>
          <w:i/>
          <w:sz w:val="24"/>
          <w:szCs w:val="24"/>
        </w:rPr>
        <w:t xml:space="preserve">, </w:t>
      </w:r>
      <w:r>
        <w:rPr>
          <w:rFonts w:ascii="Times New Roman" w:hAnsi="Times New Roman" w:eastAsia="Times New Roman CYR"/>
          <w:bCs/>
          <w:i/>
          <w:sz w:val="24"/>
          <w:szCs w:val="24"/>
        </w:rPr>
        <w:t xml:space="preserve">202</w:t>
      </w:r>
      <w:r>
        <w:rPr>
          <w:rFonts w:ascii="Times New Roman" w:hAnsi="Times New Roman" w:eastAsia="Times New Roman CYR"/>
          <w:bCs/>
          <w:i/>
          <w:sz w:val="24"/>
          <w:szCs w:val="24"/>
        </w:rPr>
        <w:t xml:space="preserve">5</w:t>
      </w:r>
      <w:r>
        <w:rPr>
          <w:rFonts w:ascii="Times New Roman" w:hAnsi="Times New Roman" w:eastAsia="Times New Roman CYR"/>
          <w:bCs/>
          <w:i/>
          <w:sz w:val="24"/>
          <w:szCs w:val="24"/>
        </w:rPr>
        <w:t xml:space="preserve"> г.</w:t>
      </w:r>
      <w:r>
        <w:rPr>
          <w:rFonts w:ascii="Times New Roman" w:hAnsi="Times New Roman" w:eastAsia="Times New Roman CYR"/>
          <w:bCs/>
          <w:sz w:val="24"/>
          <w:szCs w:val="24"/>
        </w:rPr>
        <w:t xml:space="preserve"> в 15-00 (время Московское)</w:t>
      </w:r>
      <w:r>
        <w:rPr>
          <w:rFonts w:ascii="Times New Roman" w:hAnsi="Times New Roman" w:eastAsia="Times New Roman CYR"/>
          <w:bCs/>
          <w:sz w:val="24"/>
          <w:szCs w:val="24"/>
        </w:rPr>
        <w:t xml:space="preserve">.</w:t>
      </w:r>
      <w:r/>
    </w:p>
    <w:p>
      <w:pPr>
        <w:ind w:firstLine="547"/>
        <w:jc w:val="both"/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10. Место, дата и время вскрытия конвертов с заявками на участие в конкурсе: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20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ию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н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я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202</w:t>
      </w:r>
      <w:r>
        <w:rPr>
          <w:rFonts w:ascii="Times New Roman" w:hAnsi="Times New Roman"/>
          <w:i/>
          <w:sz w:val="24"/>
          <w:szCs w:val="24"/>
        </w:rPr>
        <w:t xml:space="preserve">5</w:t>
      </w:r>
      <w:r>
        <w:rPr>
          <w:rFonts w:ascii="Times New Roman" w:hAnsi="Times New Roman"/>
          <w:color w:val="000000"/>
          <w:sz w:val="24"/>
          <w:szCs w:val="24"/>
        </w:rPr>
        <w:t xml:space="preserve"> года в 1</w:t>
      </w:r>
      <w:r>
        <w:rPr>
          <w:rFonts w:ascii="Times New Roman" w:hAnsi="Times New Roman"/>
          <w:color w:val="000000"/>
          <w:sz w:val="24"/>
          <w:szCs w:val="24"/>
        </w:rPr>
        <w:t xml:space="preserve">1</w:t>
      </w: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/>
          <w:color w:val="000000"/>
          <w:sz w:val="24"/>
          <w:szCs w:val="24"/>
        </w:rPr>
        <w:t xml:space="preserve">00</w:t>
      </w:r>
      <w:r>
        <w:rPr>
          <w:rFonts w:ascii="Times New Roman" w:hAnsi="Times New Roman"/>
          <w:color w:val="000000"/>
          <w:sz w:val="24"/>
          <w:szCs w:val="24"/>
        </w:rPr>
        <w:t xml:space="preserve"> часов (время </w:t>
      </w:r>
      <w:r>
        <w:rPr>
          <w:rFonts w:ascii="Times New Roman" w:hAnsi="Times New Roman"/>
          <w:color w:val="000000"/>
          <w:sz w:val="24"/>
          <w:szCs w:val="24"/>
        </w:rPr>
        <w:t xml:space="preserve">Московское</w:t>
      </w:r>
      <w:r>
        <w:rPr>
          <w:rFonts w:ascii="Times New Roman" w:hAnsi="Times New Roman"/>
          <w:color w:val="000000"/>
          <w:sz w:val="24"/>
          <w:szCs w:val="24"/>
        </w:rPr>
        <w:t xml:space="preserve">) по </w:t>
      </w:r>
      <w:r>
        <w:rPr>
          <w:rFonts w:ascii="Times New Roman" w:hAnsi="Times New Roman"/>
          <w:color w:val="000000"/>
          <w:sz w:val="24"/>
          <w:szCs w:val="24"/>
        </w:rPr>
        <w:t xml:space="preserve">адресу: </w:t>
      </w:r>
      <w:r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Белгород</w:t>
      </w:r>
      <w:r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 xml:space="preserve">Шершнева</w:t>
      </w:r>
      <w:r>
        <w:rPr>
          <w:rFonts w:ascii="Times New Roman" w:hAnsi="Times New Roman"/>
          <w:sz w:val="24"/>
          <w:szCs w:val="24"/>
        </w:rPr>
        <w:t xml:space="preserve"> д. </w:t>
      </w:r>
      <w:r>
        <w:rPr>
          <w:rFonts w:ascii="Times New Roman" w:hAnsi="Times New Roman"/>
          <w:sz w:val="24"/>
          <w:szCs w:val="24"/>
        </w:rPr>
        <w:t xml:space="preserve">1а</w:t>
      </w:r>
      <w:r>
        <w:rPr>
          <w:rFonts w:ascii="Times New Roman" w:hAnsi="Times New Roman"/>
          <w:sz w:val="24"/>
          <w:szCs w:val="24"/>
        </w:rPr>
        <w:t xml:space="preserve">, каб</w:t>
      </w:r>
      <w:r>
        <w:rPr>
          <w:rFonts w:ascii="Times New Roman" w:hAnsi="Times New Roman"/>
          <w:sz w:val="24"/>
          <w:szCs w:val="24"/>
        </w:rPr>
        <w:t xml:space="preserve">инет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12</w:t>
      </w: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ind w:firstLine="547"/>
        <w:jc w:val="both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11. Место, дата и время рассмотрения конкурсной комиссией заявок на участие в конкурсе:</w:t>
      </w:r>
      <w:r>
        <w:rPr>
          <w:rFonts w:ascii="Times New Roman" w:hAnsi="Times New Roman"/>
          <w:i/>
          <w:sz w:val="24"/>
          <w:szCs w:val="24"/>
        </w:rPr>
        <w:t xml:space="preserve"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25 июн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я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202</w:t>
      </w:r>
      <w:r>
        <w:rPr>
          <w:rFonts w:ascii="Times New Roman" w:hAnsi="Times New Roman"/>
          <w:i/>
          <w:sz w:val="24"/>
          <w:szCs w:val="24"/>
        </w:rPr>
        <w:t xml:space="preserve">5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года </w:t>
      </w:r>
      <w:r>
        <w:rPr>
          <w:rFonts w:ascii="Times New Roman" w:hAnsi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</w:rPr>
        <w:t xml:space="preserve">1</w:t>
      </w: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/>
          <w:color w:val="000000"/>
          <w:sz w:val="24"/>
          <w:szCs w:val="24"/>
        </w:rPr>
        <w:t xml:space="preserve">00</w:t>
      </w:r>
      <w:r>
        <w:rPr>
          <w:rFonts w:ascii="Times New Roman" w:hAnsi="Times New Roman"/>
          <w:color w:val="000000"/>
          <w:sz w:val="24"/>
          <w:szCs w:val="24"/>
        </w:rPr>
        <w:t xml:space="preserve"> часов (время </w:t>
      </w:r>
      <w:r>
        <w:rPr>
          <w:rFonts w:ascii="Times New Roman" w:hAnsi="Times New Roman"/>
          <w:color w:val="000000"/>
          <w:sz w:val="24"/>
          <w:szCs w:val="24"/>
        </w:rPr>
        <w:t xml:space="preserve">Московское</w:t>
      </w:r>
      <w:r>
        <w:rPr>
          <w:rFonts w:ascii="Times New Roman" w:hAnsi="Times New Roman"/>
          <w:color w:val="000000"/>
          <w:sz w:val="24"/>
          <w:szCs w:val="24"/>
        </w:rPr>
        <w:t xml:space="preserve">) по адресу: </w:t>
      </w:r>
      <w:r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Белгород</w:t>
      </w:r>
      <w:r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 xml:space="preserve">Шершнева</w:t>
      </w:r>
      <w:r>
        <w:rPr>
          <w:rFonts w:ascii="Times New Roman" w:hAnsi="Times New Roman"/>
          <w:sz w:val="24"/>
          <w:szCs w:val="24"/>
        </w:rPr>
        <w:t xml:space="preserve"> д. </w:t>
      </w:r>
      <w:r>
        <w:rPr>
          <w:rFonts w:ascii="Times New Roman" w:hAnsi="Times New Roman"/>
          <w:sz w:val="24"/>
          <w:szCs w:val="24"/>
        </w:rPr>
        <w:t xml:space="preserve">1а</w:t>
      </w:r>
      <w:r>
        <w:rPr>
          <w:rFonts w:ascii="Times New Roman" w:hAnsi="Times New Roman"/>
          <w:sz w:val="24"/>
          <w:szCs w:val="24"/>
        </w:rPr>
        <w:t xml:space="preserve">, каб</w:t>
      </w:r>
      <w:r>
        <w:rPr>
          <w:rFonts w:ascii="Times New Roman" w:hAnsi="Times New Roman"/>
          <w:sz w:val="24"/>
          <w:szCs w:val="24"/>
        </w:rPr>
        <w:t xml:space="preserve">инет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ind w:firstLine="547"/>
        <w:jc w:val="both"/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12. Место, дата и время проведения конкурса: 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27 июн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я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202</w:t>
      </w:r>
      <w:r>
        <w:rPr>
          <w:rFonts w:ascii="Times New Roman" w:hAnsi="Times New Roman"/>
          <w:i/>
          <w:sz w:val="24"/>
          <w:szCs w:val="24"/>
        </w:rPr>
        <w:t xml:space="preserve">5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года </w:t>
      </w:r>
      <w:r>
        <w:rPr>
          <w:rFonts w:ascii="Times New Roman" w:hAnsi="Times New Roman"/>
          <w:color w:val="000000"/>
          <w:sz w:val="24"/>
          <w:szCs w:val="24"/>
        </w:rPr>
        <w:t xml:space="preserve">в 11-</w:t>
      </w:r>
      <w:r>
        <w:rPr>
          <w:rFonts w:ascii="Times New Roman" w:hAnsi="Times New Roman"/>
          <w:color w:val="000000"/>
          <w:sz w:val="24"/>
          <w:szCs w:val="24"/>
        </w:rPr>
        <w:t xml:space="preserve">0</w:t>
      </w:r>
      <w:r>
        <w:rPr>
          <w:rFonts w:ascii="Times New Roman" w:hAnsi="Times New Roman"/>
          <w:color w:val="000000"/>
          <w:sz w:val="24"/>
          <w:szCs w:val="24"/>
        </w:rPr>
        <w:t xml:space="preserve">0</w:t>
      </w:r>
      <w:r>
        <w:rPr>
          <w:rFonts w:ascii="Times New Roman" w:hAnsi="Times New Roman"/>
          <w:color w:val="000000"/>
          <w:sz w:val="24"/>
          <w:szCs w:val="24"/>
        </w:rPr>
        <w:t xml:space="preserve"> часов  </w:t>
      </w:r>
      <w:r>
        <w:rPr>
          <w:rFonts w:ascii="Times New Roman" w:hAnsi="Times New Roman"/>
          <w:color w:val="000000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 xml:space="preserve">г. Белгород</w:t>
      </w:r>
      <w:r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 xml:space="preserve">Шершнева</w:t>
      </w:r>
      <w:r>
        <w:rPr>
          <w:rFonts w:ascii="Times New Roman" w:hAnsi="Times New Roman"/>
          <w:sz w:val="24"/>
          <w:szCs w:val="24"/>
        </w:rPr>
        <w:t xml:space="preserve"> д. </w:t>
      </w:r>
      <w:r>
        <w:rPr>
          <w:rFonts w:ascii="Times New Roman" w:hAnsi="Times New Roman"/>
          <w:sz w:val="24"/>
          <w:szCs w:val="24"/>
        </w:rPr>
        <w:t xml:space="preserve">1а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каб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№ 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ind w:firstLine="547"/>
        <w:jc w:val="both"/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13. Размер обеспечения заявки на участие в конкурсе: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/>
    </w:p>
    <w:p>
      <w:pPr>
        <w:ind w:firstLine="1134"/>
        <w:jc w:val="both"/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 № 1 –  </w:t>
      </w:r>
      <w:r>
        <w:rPr>
          <w:rFonts w:ascii="Times New Roman" w:hAnsi="Times New Roman"/>
          <w:b/>
          <w:sz w:val="24"/>
          <w:szCs w:val="24"/>
        </w:rPr>
        <w:t xml:space="preserve">2 433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руб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Лот № 2 –  </w:t>
      </w:r>
      <w:r>
        <w:rPr>
          <w:rFonts w:ascii="Times New Roman" w:hAnsi="Times New Roman"/>
          <w:b/>
          <w:sz w:val="24"/>
          <w:szCs w:val="24"/>
        </w:rPr>
        <w:t xml:space="preserve">1 196</w:t>
      </w:r>
      <w:r>
        <w:rPr>
          <w:rFonts w:ascii="Times New Roman" w:hAnsi="Times New Roman"/>
          <w:b/>
          <w:sz w:val="24"/>
          <w:szCs w:val="24"/>
        </w:rPr>
        <w:t xml:space="preserve">  руб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Лот № 3 –  </w:t>
      </w:r>
      <w:r>
        <w:rPr>
          <w:rFonts w:ascii="Times New Roman" w:hAnsi="Times New Roman"/>
          <w:b/>
          <w:sz w:val="24"/>
          <w:szCs w:val="24"/>
        </w:rPr>
        <w:t xml:space="preserve">1 077</w:t>
      </w:r>
      <w:r>
        <w:rPr>
          <w:rFonts w:ascii="Times New Roman" w:hAnsi="Times New Roman"/>
          <w:b/>
          <w:sz w:val="24"/>
          <w:szCs w:val="24"/>
        </w:rPr>
        <w:t xml:space="preserve">  руб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Лот № </w:t>
      </w:r>
      <w:r>
        <w:rPr>
          <w:rFonts w:ascii="Times New Roman" w:hAnsi="Times New Roman"/>
          <w:sz w:val="24"/>
          <w:szCs w:val="24"/>
        </w:rPr>
        <w:t xml:space="preserve">4 –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530 </w:t>
      </w:r>
      <w:r>
        <w:rPr>
          <w:rFonts w:ascii="Times New Roman" w:hAnsi="Times New Roman"/>
          <w:b/>
          <w:sz w:val="24"/>
          <w:szCs w:val="24"/>
        </w:rPr>
        <w:t xml:space="preserve">руб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Лот № 5 –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4 486</w:t>
      </w:r>
      <w:r>
        <w:rPr>
          <w:rFonts w:ascii="Times New Roman" w:hAnsi="Times New Roman"/>
          <w:b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ind w:firstLine="1134"/>
        <w:jc w:val="both"/>
        <w:spacing w:before="120" w:after="12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 № 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809</w:t>
      </w:r>
      <w:r>
        <w:rPr>
          <w:rFonts w:ascii="Times New Roman" w:hAnsi="Times New Roman"/>
          <w:b/>
          <w:sz w:val="24"/>
          <w:szCs w:val="24"/>
        </w:rPr>
        <w:t xml:space="preserve"> руб.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Лот № 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4 185</w:t>
      </w:r>
      <w:r>
        <w:rPr>
          <w:rFonts w:ascii="Times New Roman" w:hAnsi="Times New Roman"/>
          <w:b/>
          <w:sz w:val="24"/>
          <w:szCs w:val="24"/>
        </w:rPr>
        <w:t xml:space="preserve"> руб.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Лот № 8 –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1 593</w:t>
      </w:r>
      <w:r>
        <w:rPr>
          <w:rFonts w:ascii="Times New Roman" w:hAnsi="Times New Roman"/>
          <w:b/>
          <w:sz w:val="24"/>
          <w:szCs w:val="24"/>
        </w:rPr>
        <w:t xml:space="preserve"> руб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Лот № </w:t>
      </w:r>
      <w:r>
        <w:rPr>
          <w:rFonts w:ascii="Times New Roman" w:hAnsi="Times New Roman"/>
          <w:sz w:val="24"/>
          <w:szCs w:val="24"/>
        </w:rPr>
        <w:t xml:space="preserve">9 –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1 022</w:t>
      </w:r>
      <w:r>
        <w:rPr>
          <w:rFonts w:ascii="Times New Roman" w:hAnsi="Times New Roman"/>
          <w:b/>
          <w:sz w:val="24"/>
          <w:szCs w:val="24"/>
        </w:rPr>
        <w:t xml:space="preserve"> руб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Лот № </w:t>
      </w:r>
      <w:r>
        <w:rPr>
          <w:rFonts w:ascii="Times New Roman" w:hAnsi="Times New Roman"/>
          <w:sz w:val="24"/>
          <w:szCs w:val="24"/>
        </w:rPr>
        <w:t xml:space="preserve">10 –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2 151</w:t>
      </w:r>
      <w:r>
        <w:rPr>
          <w:rFonts w:ascii="Times New Roman" w:hAnsi="Times New Roman"/>
          <w:b/>
          <w:sz w:val="24"/>
          <w:szCs w:val="24"/>
        </w:rPr>
        <w:t xml:space="preserve"> руб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/>
      <w:r>
        <w:rPr>
          <w:rFonts w:ascii="Times New Roman" w:hAnsi="Times New Roman"/>
          <w:color w:val="ff0000"/>
          <w:sz w:val="24"/>
          <w:szCs w:val="24"/>
        </w:rPr>
      </w:r>
    </w:p>
    <w:p>
      <w:pPr>
        <w:ind w:firstLine="1134"/>
        <w:jc w:val="both"/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60"/>
        <w:ind w:firstLine="720"/>
        <w:rPr>
          <w:szCs w:val="24"/>
        </w:rPr>
      </w:pPr>
      <w:r>
        <w:rPr>
          <w:szCs w:val="24"/>
        </w:rPr>
        <w:t xml:space="preserve">Денежные средства в обеспечение заявки на участие в конкурсе вносятся на счет администрации Белгородского района: </w:t>
      </w:r>
      <w:r/>
    </w:p>
    <w:p>
      <w:pPr>
        <w:pStyle w:val="660"/>
        <w:ind w:firstLine="720"/>
        <w:rPr>
          <w:szCs w:val="24"/>
        </w:rPr>
      </w:pPr>
      <w:r>
        <w:rPr>
          <w:szCs w:val="24"/>
        </w:rPr>
      </w:r>
      <w:r/>
    </w:p>
    <w:p>
      <w:pPr>
        <w:ind w:firstLine="72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получателя::</w:t>
      </w:r>
      <w:r>
        <w:rPr>
          <w:rFonts w:ascii="Times New Roman" w:hAnsi="Times New Roman"/>
          <w:sz w:val="24"/>
          <w:szCs w:val="24"/>
        </w:rPr>
        <w:tab/>
        <w:t xml:space="preserve">УФК по Белгородской области  (АДМИНИСТРАЦИЯ БЕЛГОРОДСКОГО РАЙОНА, </w:t>
      </w:r>
      <w:r/>
    </w:p>
    <w:p>
      <w:pPr>
        <w:ind w:firstLine="72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</w:t>
      </w:r>
      <w:r>
        <w:rPr>
          <w:rFonts w:ascii="Times New Roman" w:hAnsi="Times New Roman"/>
          <w:sz w:val="24"/>
          <w:szCs w:val="24"/>
        </w:rPr>
        <w:t xml:space="preserve">/с 05263003070)</w:t>
      </w:r>
      <w:r/>
    </w:p>
    <w:p>
      <w:pPr>
        <w:ind w:firstLine="72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3102003133</w:t>
      </w:r>
      <w:r/>
    </w:p>
    <w:p>
      <w:pPr>
        <w:ind w:firstLine="72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КПП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310201001</w:t>
      </w:r>
      <w:r/>
    </w:p>
    <w:p>
      <w:pPr>
        <w:ind w:firstLine="72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Код по ОКТМО</w:t>
      </w:r>
      <w:r>
        <w:rPr>
          <w:rFonts w:ascii="Times New Roman" w:hAnsi="Times New Roman"/>
          <w:sz w:val="24"/>
          <w:szCs w:val="24"/>
        </w:rPr>
        <w:tab/>
        <w:t xml:space="preserve">14610450</w:t>
      </w:r>
      <w:r/>
    </w:p>
    <w:p>
      <w:pPr>
        <w:ind w:firstLine="72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банка: ОТДЕЛЕНИЕ БЕЛГОРОД БАНКА РОССИИ//УФК по Белгородской области г. Белгород</w:t>
      </w:r>
      <w:r/>
    </w:p>
    <w:p>
      <w:pPr>
        <w:ind w:firstLine="72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БИК банка</w:t>
      </w:r>
      <w:r>
        <w:rPr>
          <w:rFonts w:ascii="Times New Roman" w:hAnsi="Times New Roman"/>
          <w:sz w:val="24"/>
          <w:szCs w:val="24"/>
        </w:rPr>
        <w:tab/>
        <w:t xml:space="preserve">      011403102</w:t>
      </w:r>
      <w:r/>
    </w:p>
    <w:p>
      <w:pPr>
        <w:ind w:firstLine="72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Коррсчет</w:t>
      </w:r>
      <w:r>
        <w:rPr>
          <w:rFonts w:ascii="Times New Roman" w:hAnsi="Times New Roman"/>
          <w:sz w:val="24"/>
          <w:szCs w:val="24"/>
        </w:rPr>
        <w:tab/>
        <w:t xml:space="preserve">      40102810745370000018</w:t>
      </w:r>
      <w:r/>
    </w:p>
    <w:p>
      <w:pPr>
        <w:ind w:firstLine="72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Расчетный счет   03232643146100002600</w:t>
      </w:r>
      <w:r/>
    </w:p>
    <w:p>
      <w:pPr>
        <w:pStyle w:val="660"/>
        <w:ind w:firstLine="720"/>
        <w:rPr>
          <w:b w:val="0"/>
          <w:color w:val="ff0000"/>
          <w:szCs w:val="24"/>
        </w:rPr>
      </w:pPr>
      <w:r>
        <w:rPr>
          <w:b w:val="0"/>
          <w:color w:val="ff0000"/>
          <w:szCs w:val="24"/>
        </w:rPr>
      </w:r>
      <w:r/>
    </w:p>
    <w:p>
      <w:pPr>
        <w:pStyle w:val="660"/>
        <w:ind w:firstLine="720"/>
        <w:rPr>
          <w:szCs w:val="24"/>
        </w:rPr>
      </w:pPr>
      <w:r>
        <w:rPr>
          <w:szCs w:val="24"/>
        </w:rPr>
        <w:t xml:space="preserve">В назначении платежа указать: «Внесение денежных средств </w:t>
      </w:r>
      <w:r>
        <w:rPr>
          <w:szCs w:val="24"/>
        </w:rPr>
        <w:t xml:space="preserve">в качестве </w:t>
      </w:r>
      <w:r>
        <w:rPr>
          <w:szCs w:val="24"/>
        </w:rPr>
        <w:t xml:space="preserve">обеспечени</w:t>
      </w:r>
      <w:r>
        <w:rPr>
          <w:szCs w:val="24"/>
        </w:rPr>
        <w:t xml:space="preserve">я</w:t>
      </w:r>
      <w:r>
        <w:rPr>
          <w:szCs w:val="24"/>
        </w:rPr>
        <w:t xml:space="preserve"> заявки по лоту № _______»</w:t>
      </w:r>
      <w:r/>
    </w:p>
    <w:p>
      <w:pPr>
        <w:pStyle w:val="660"/>
        <w:ind w:firstLine="720"/>
        <w:jc w:val="both"/>
        <w:rPr>
          <w:szCs w:val="24"/>
        </w:rPr>
      </w:pPr>
      <w:r>
        <w:rPr>
          <w:b w:val="0"/>
          <w:szCs w:val="24"/>
        </w:rPr>
        <w:t xml:space="preserve">Денежные средства должны поступить до даты рассмотрения заявки на участие в конкурсе, но не позже указанного срока.</w:t>
      </w:r>
      <w:r>
        <w:rPr>
          <w:b w:val="0"/>
          <w:szCs w:val="24"/>
        </w:rPr>
        <w:t xml:space="preserve"> </w:t>
      </w:r>
      <w:r>
        <w:rPr>
          <w:szCs w:val="24"/>
        </w:rPr>
        <w:t xml:space="preserve">В назначении платежа указать: «Зачислить обеспечение заявки</w:t>
      </w:r>
      <w:r>
        <w:rPr>
          <w:szCs w:val="24"/>
        </w:rPr>
        <w:t xml:space="preserve"> по лоту № _</w:t>
      </w:r>
      <w:r>
        <w:rPr>
          <w:szCs w:val="24"/>
        </w:rPr>
        <w:t xml:space="preserve">___</w:t>
      </w:r>
      <w:r>
        <w:rPr>
          <w:szCs w:val="24"/>
        </w:rPr>
        <w:t xml:space="preserve">__</w:t>
      </w:r>
      <w:r>
        <w:rPr>
          <w:szCs w:val="24"/>
        </w:rPr>
        <w:t xml:space="preserve">_</w:t>
      </w:r>
      <w:r>
        <w:rPr>
          <w:szCs w:val="24"/>
        </w:rPr>
        <w:t xml:space="preserve">»</w:t>
      </w:r>
      <w:r/>
    </w:p>
    <w:p>
      <w:pPr>
        <w:pStyle w:val="660"/>
        <w:ind w:firstLine="720"/>
        <w:jc w:val="both"/>
        <w:rPr>
          <w:szCs w:val="24"/>
        </w:rPr>
      </w:pPr>
      <w:r>
        <w:rPr>
          <w:szCs w:val="24"/>
        </w:rPr>
      </w:r>
      <w:r/>
    </w:p>
    <w:p>
      <w:pPr>
        <w:pStyle w:val="660"/>
        <w:ind w:firstLine="720"/>
        <w:jc w:val="both"/>
      </w:pPr>
      <w:r>
        <w:rPr>
          <w:szCs w:val="24"/>
        </w:rPr>
      </w:r>
      <w:r>
        <w:rPr>
          <w:szCs w:val="24"/>
        </w:rPr>
      </w:r>
    </w:p>
    <w:p>
      <w:pPr>
        <w:pStyle w:val="660"/>
        <w:ind w:firstLine="720"/>
        <w:jc w:val="both"/>
      </w:pPr>
      <w:r>
        <w:rPr>
          <w:szCs w:val="24"/>
        </w:rPr>
      </w:r>
      <w:r/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 xml:space="preserve">Заместитель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руководителя</w:t>
      </w:r>
      <w:r/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инженерной инфраструктуре</w:t>
      </w:r>
      <w:r>
        <w:rPr>
          <w:rFonts w:ascii="Times New Roman" w:hAnsi="Times New Roman"/>
          <w:b/>
          <w:bCs/>
          <w:sz w:val="24"/>
          <w:szCs w:val="24"/>
        </w:rPr>
        <w:t xml:space="preserve"> и ЖКХ</w:t>
      </w:r>
      <w:r/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комитета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ЖКХ </w:t>
      </w:r>
      <w:r>
        <w:rPr>
          <w:rFonts w:ascii="Times New Roman" w:hAnsi="Times New Roman"/>
          <w:b/>
          <w:bCs/>
          <w:sz w:val="24"/>
          <w:szCs w:val="24"/>
        </w:rPr>
        <w:t xml:space="preserve">транспорта </w:t>
      </w:r>
      <w:r/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</w:rPr>
        <w:t xml:space="preserve">и инженерной</w:t>
      </w:r>
      <w:r>
        <w:rPr>
          <w:rFonts w:ascii="Times New Roman" w:hAnsi="Times New Roman"/>
          <w:b/>
          <w:bCs/>
          <w:sz w:val="24"/>
          <w:szCs w:val="24"/>
        </w:rPr>
        <w:t xml:space="preserve"> и</w:t>
      </w:r>
      <w:r>
        <w:rPr>
          <w:rFonts w:ascii="Times New Roman" w:hAnsi="Times New Roman"/>
          <w:b/>
          <w:bCs/>
          <w:sz w:val="24"/>
          <w:szCs w:val="24"/>
        </w:rPr>
        <w:t xml:space="preserve">нфраструктуры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/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администрации Белгородского района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В.Ю. Тимошков</w:t>
      </w:r>
      <w:r/>
    </w:p>
    <w:p>
      <w:pPr>
        <w:spacing w:after="0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</w:r>
      <w:r/>
    </w:p>
    <w:sectPr>
      <w:headerReference w:type="default" r:id="rId8"/>
      <w:footnotePr/>
      <w:endnotePr/>
      <w:type w:val="nextPage"/>
      <w:pgSz w:w="16838" w:h="11906" w:orient="landscape"/>
      <w:pgMar w:top="993" w:right="567" w:bottom="284" w:left="1134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00603000000000000"/>
  </w:font>
  <w:font w:name="Tinos">
    <w:panose1 w:val="020206030504050203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6</w:t>
    </w:r>
    <w:r>
      <w:fldChar w:fldCharType="end"/>
    </w:r>
    <w:r/>
  </w:p>
  <w:p>
    <w:pPr>
      <w:pStyle w:val="66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4"/>
    <w:link w:val="664"/>
    <w:uiPriority w:val="99"/>
  </w:style>
  <w:style w:type="character" w:styleId="45">
    <w:name w:val="Footer Char"/>
    <w:basedOn w:val="654"/>
    <w:link w:val="666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6"/>
    <w:uiPriority w:val="99"/>
  </w:style>
  <w:style w:type="table" w:styleId="48">
    <w:name w:val="Table Grid"/>
    <w:basedOn w:val="6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pPr>
      <w:spacing w:after="200" w:line="276" w:lineRule="auto"/>
    </w:pPr>
    <w:rPr>
      <w:sz w:val="22"/>
      <w:szCs w:val="22"/>
    </w:rPr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paragraph" w:styleId="657" w:customStyle="1">
    <w:name w:val="western"/>
    <w:basedOn w:val="6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658">
    <w:name w:val="Normal (Web)"/>
    <w:basedOn w:val="65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659">
    <w:name w:val="Hyperlink"/>
    <w:basedOn w:val="654"/>
    <w:uiPriority w:val="99"/>
    <w:unhideWhenUsed/>
    <w:rPr>
      <w:color w:val="0000ff"/>
      <w:u w:val="single"/>
    </w:rPr>
  </w:style>
  <w:style w:type="paragraph" w:styleId="660">
    <w:name w:val="Body Text"/>
    <w:basedOn w:val="653"/>
    <w:link w:val="661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styleId="661" w:customStyle="1">
    <w:name w:val="Основной текст Знак"/>
    <w:basedOn w:val="654"/>
    <w:link w:val="660"/>
    <w:rPr>
      <w:rFonts w:ascii="Times New Roman" w:hAnsi="Times New Roman"/>
      <w:b/>
      <w:sz w:val="24"/>
    </w:rPr>
  </w:style>
  <w:style w:type="paragraph" w:styleId="662">
    <w:name w:val="Balloon Text"/>
    <w:basedOn w:val="653"/>
    <w:link w:val="66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3" w:customStyle="1">
    <w:name w:val="Текст выноски Знак"/>
    <w:basedOn w:val="654"/>
    <w:link w:val="662"/>
    <w:uiPriority w:val="99"/>
    <w:semiHidden/>
    <w:rPr>
      <w:rFonts w:ascii="Tahoma" w:hAnsi="Tahoma" w:cs="Tahoma"/>
      <w:sz w:val="16"/>
      <w:szCs w:val="16"/>
    </w:rPr>
  </w:style>
  <w:style w:type="paragraph" w:styleId="664">
    <w:name w:val="Header"/>
    <w:basedOn w:val="653"/>
    <w:link w:val="6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5" w:customStyle="1">
    <w:name w:val="Верхний колонтитул Знак"/>
    <w:basedOn w:val="654"/>
    <w:link w:val="664"/>
    <w:uiPriority w:val="99"/>
    <w:rPr>
      <w:sz w:val="22"/>
      <w:szCs w:val="22"/>
    </w:rPr>
  </w:style>
  <w:style w:type="paragraph" w:styleId="666">
    <w:name w:val="Footer"/>
    <w:basedOn w:val="653"/>
    <w:link w:val="66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7" w:customStyle="1">
    <w:name w:val="Нижний колонтитул Знак"/>
    <w:basedOn w:val="654"/>
    <w:link w:val="666"/>
    <w:uiPriority w:val="99"/>
    <w:rPr>
      <w:sz w:val="22"/>
      <w:szCs w:val="22"/>
    </w:rPr>
  </w:style>
  <w:style w:type="paragraph" w:styleId="668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669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https://belgorodskij-r31.gosuslugi.ru" TargetMode="External"/><Relationship Id="rId11" Type="http://schemas.openxmlformats.org/officeDocument/2006/relationships/hyperlink" Target="https://belgorodskij-r31.gosuslugi.ru" TargetMode="External"/><Relationship Id="rId12" Type="http://schemas.openxmlformats.org/officeDocument/2006/relationships/hyperlink" Target="http://www.torgi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064F4F1-1C05-4231-AC0D-EF5C32E9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администрация Белгородского района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Сунно</dc:creator>
  <cp:revision>64</cp:revision>
  <dcterms:created xsi:type="dcterms:W3CDTF">2020-11-20T12:54:00Z</dcterms:created>
  <dcterms:modified xsi:type="dcterms:W3CDTF">2025-05-15T15:15:54Z</dcterms:modified>
</cp:coreProperties>
</file>