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EE" w:rsidRDefault="006A71EE" w:rsidP="006A71EE">
      <w:pPr>
        <w:tabs>
          <w:tab w:val="left" w:pos="7710"/>
        </w:tabs>
        <w:spacing w:after="0"/>
        <w:jc w:val="center"/>
        <w:rPr>
          <w:rFonts w:ascii="Times New Roman" w:hAnsi="Times New Roman" w:cs="Times New Roman"/>
          <w:b/>
          <w:sz w:val="24"/>
          <w:szCs w:val="28"/>
        </w:rPr>
      </w:pPr>
    </w:p>
    <w:p w:rsidR="006A71EE" w:rsidRDefault="006A71EE" w:rsidP="006A71E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6A71EE" w:rsidRDefault="006A71EE" w:rsidP="006A71E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6A71EE" w:rsidRDefault="006A71EE" w:rsidP="006A71E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6A71EE" w:rsidRDefault="006A71EE" w:rsidP="006A71E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9574A5">
        <w:rPr>
          <w:rFonts w:ascii="Times New Roman" w:hAnsi="Times New Roman" w:cs="Times New Roman"/>
          <w:b/>
          <w:sz w:val="24"/>
          <w:szCs w:val="28"/>
        </w:rPr>
        <w:t>2</w:t>
      </w:r>
      <w:r>
        <w:rPr>
          <w:rFonts w:ascii="Times New Roman" w:hAnsi="Times New Roman" w:cs="Times New Roman"/>
          <w:b/>
          <w:sz w:val="24"/>
          <w:szCs w:val="28"/>
        </w:rPr>
        <w:t xml:space="preserve">  г. №__</w:t>
      </w:r>
    </w:p>
    <w:p w:rsidR="008F7D60" w:rsidRDefault="008F7D60" w:rsidP="00582D32">
      <w:pPr>
        <w:spacing w:after="0" w:line="240" w:lineRule="auto"/>
        <w:jc w:val="center"/>
        <w:rPr>
          <w:rFonts w:ascii="Times New Roman" w:eastAsia="Times New Roman" w:hAnsi="Times New Roman" w:cs="Times New Roman"/>
          <w:b/>
          <w:sz w:val="24"/>
          <w:szCs w:val="28"/>
          <w:lang w:eastAsia="ru-RU"/>
        </w:rPr>
      </w:pPr>
    </w:p>
    <w:p w:rsidR="009574A5" w:rsidRDefault="009574A5" w:rsidP="00582D32">
      <w:pPr>
        <w:spacing w:after="0" w:line="240" w:lineRule="auto"/>
        <w:jc w:val="center"/>
        <w:rPr>
          <w:rFonts w:ascii="Times New Roman" w:eastAsia="Times New Roman" w:hAnsi="Times New Roman" w:cs="Times New Roman"/>
          <w:b/>
          <w:sz w:val="24"/>
          <w:szCs w:val="28"/>
          <w:lang w:eastAsia="ru-RU"/>
        </w:rPr>
      </w:pPr>
    </w:p>
    <w:p w:rsidR="00582D32" w:rsidRPr="002C3DC6" w:rsidRDefault="007A5F88" w:rsidP="00582D32">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582D32" w:rsidRPr="002C3DC6">
        <w:rPr>
          <w:rFonts w:ascii="Times New Roman" w:eastAsia="Times New Roman" w:hAnsi="Times New Roman" w:cs="Times New Roman"/>
          <w:b/>
          <w:sz w:val="24"/>
          <w:szCs w:val="28"/>
          <w:lang w:eastAsia="ru-RU"/>
        </w:rPr>
        <w:t xml:space="preserve">ормативы градостроительного проектирования </w:t>
      </w:r>
    </w:p>
    <w:p w:rsidR="00582D32" w:rsidRPr="002C3DC6" w:rsidRDefault="00582D32" w:rsidP="00582D32">
      <w:pPr>
        <w:spacing w:after="0" w:line="240" w:lineRule="auto"/>
        <w:jc w:val="center"/>
        <w:rPr>
          <w:rFonts w:ascii="Times New Roman" w:eastAsia="Times New Roman" w:hAnsi="Times New Roman" w:cs="Times New Roman"/>
          <w:b/>
          <w:sz w:val="24"/>
          <w:szCs w:val="28"/>
          <w:lang w:eastAsia="ru-RU"/>
        </w:rPr>
      </w:pPr>
      <w:proofErr w:type="spellStart"/>
      <w:r w:rsidRPr="002C3DC6">
        <w:rPr>
          <w:rFonts w:ascii="Times New Roman" w:eastAsia="Times New Roman" w:hAnsi="Times New Roman" w:cs="Times New Roman"/>
          <w:b/>
          <w:bCs/>
          <w:sz w:val="24"/>
          <w:szCs w:val="24"/>
          <w:lang w:eastAsia="ru-RU"/>
        </w:rPr>
        <w:t>Журавлевского</w:t>
      </w:r>
      <w:proofErr w:type="spellEnd"/>
      <w:r w:rsidRPr="002C3DC6">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582D32" w:rsidRPr="002C3DC6" w:rsidRDefault="00582D32" w:rsidP="00582D32">
      <w:pPr>
        <w:spacing w:after="0"/>
        <w:rPr>
          <w:rFonts w:ascii="Times New Roman" w:eastAsia="Times New Roman" w:hAnsi="Times New Roman" w:cs="Times New Roman"/>
          <w:sz w:val="24"/>
          <w:szCs w:val="24"/>
          <w:lang w:eastAsia="ru-RU"/>
        </w:rPr>
      </w:pPr>
    </w:p>
    <w:p w:rsidR="00582D32" w:rsidRPr="002C3DC6" w:rsidRDefault="007A5F88" w:rsidP="00582D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582D32" w:rsidRPr="002C3DC6">
        <w:rPr>
          <w:rFonts w:ascii="Times New Roman" w:eastAsia="Times New Roman" w:hAnsi="Times New Roman" w:cs="Times New Roman"/>
          <w:sz w:val="24"/>
          <w:szCs w:val="24"/>
          <w:lang w:eastAsia="ru-RU"/>
        </w:rPr>
        <w:t xml:space="preserve">ормативы градостроительного проектирования </w:t>
      </w:r>
      <w:proofErr w:type="spellStart"/>
      <w:r w:rsidR="00582D32" w:rsidRPr="002C3DC6">
        <w:rPr>
          <w:rFonts w:ascii="Times New Roman" w:eastAsia="Times New Roman" w:hAnsi="Times New Roman" w:cs="Times New Roman"/>
          <w:bCs/>
          <w:sz w:val="24"/>
          <w:szCs w:val="24"/>
          <w:lang w:eastAsia="ru-RU"/>
        </w:rPr>
        <w:t>Журавлевского</w:t>
      </w:r>
      <w:proofErr w:type="spellEnd"/>
      <w:r w:rsidR="00582D32" w:rsidRPr="002C3DC6">
        <w:rPr>
          <w:rFonts w:ascii="Times New Roman" w:eastAsia="Times New Roman" w:hAnsi="Times New Roman" w:cs="Times New Roman"/>
          <w:bCs/>
          <w:sz w:val="24"/>
          <w:szCs w:val="24"/>
          <w:lang w:eastAsia="ru-RU"/>
        </w:rPr>
        <w:t xml:space="preserve"> сельского</w:t>
      </w:r>
      <w:r w:rsidR="00582D32" w:rsidRPr="002C3DC6">
        <w:rPr>
          <w:rFonts w:ascii="Calibri" w:eastAsia="Times New Roman" w:hAnsi="Calibri" w:cs="Times New Roman"/>
          <w:bCs/>
          <w:sz w:val="24"/>
          <w:szCs w:val="24"/>
          <w:lang w:eastAsia="ru-RU"/>
        </w:rPr>
        <w:t xml:space="preserve"> </w:t>
      </w:r>
      <w:r w:rsidR="00582D32" w:rsidRPr="002C3DC6">
        <w:rPr>
          <w:rFonts w:ascii="Times New Roman" w:eastAsia="Times New Roman" w:hAnsi="Times New Roman" w:cs="Times New Roman"/>
          <w:bCs/>
          <w:sz w:val="24"/>
          <w:szCs w:val="24"/>
          <w:lang w:eastAsia="ru-RU"/>
        </w:rPr>
        <w:t>поселения муниципального района «</w:t>
      </w:r>
      <w:r w:rsidR="00582D32" w:rsidRPr="002C3DC6">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582D32" w:rsidRPr="002C3DC6">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582D32" w:rsidRPr="002C3DC6">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582D32" w:rsidRPr="002C3DC6">
        <w:rPr>
          <w:rFonts w:ascii="Times New Roman" w:eastAsia="Times New Roman" w:hAnsi="Times New Roman" w:cs="Times New Roman"/>
          <w:sz w:val="24"/>
          <w:szCs w:val="24"/>
          <w:lang w:eastAsia="ru-RU"/>
        </w:rPr>
        <w:t>с законодательством Российской Федерации.</w:t>
      </w:r>
    </w:p>
    <w:p w:rsidR="00582D32" w:rsidRPr="002C3DC6" w:rsidRDefault="00582D32" w:rsidP="00582D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DC6">
        <w:rPr>
          <w:rFonts w:ascii="Times New Roman" w:eastAsia="Times New Roman" w:hAnsi="Times New Roman" w:cs="Times New Roman"/>
          <w:sz w:val="24"/>
          <w:szCs w:val="24"/>
          <w:lang w:eastAsia="ru-RU"/>
        </w:rPr>
        <w:t xml:space="preserve">По вопросам, </w:t>
      </w:r>
      <w:r w:rsidR="007A5F88">
        <w:rPr>
          <w:rFonts w:ascii="Times New Roman" w:eastAsia="Times New Roman" w:hAnsi="Times New Roman" w:cs="Times New Roman"/>
          <w:sz w:val="24"/>
          <w:szCs w:val="24"/>
          <w:lang w:eastAsia="ru-RU"/>
        </w:rPr>
        <w:t>не рассматриваемым в настоящих н</w:t>
      </w:r>
      <w:r w:rsidRPr="002C3DC6">
        <w:rPr>
          <w:rFonts w:ascii="Times New Roman" w:eastAsia="Times New Roman" w:hAnsi="Times New Roman" w:cs="Times New Roman"/>
          <w:sz w:val="24"/>
          <w:szCs w:val="24"/>
          <w:lang w:eastAsia="ru-RU"/>
        </w:rPr>
        <w:t>ормативах</w:t>
      </w:r>
      <w:r w:rsidR="007A5F88">
        <w:rPr>
          <w:rFonts w:ascii="Times New Roman" w:eastAsia="Times New Roman" w:hAnsi="Times New Roman" w:cs="Times New Roman"/>
          <w:sz w:val="24"/>
          <w:szCs w:val="24"/>
          <w:lang w:eastAsia="ru-RU"/>
        </w:rPr>
        <w:t xml:space="preserve"> градостроительного проектирования</w:t>
      </w:r>
      <w:r w:rsidRPr="002C3DC6">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582D32" w:rsidRPr="002C3DC6" w:rsidRDefault="007A5F88" w:rsidP="00582D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582D32" w:rsidRPr="002C3DC6">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582D32" w:rsidRPr="002C3DC6">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proofErr w:type="spellStart"/>
      <w:r w:rsidR="00582D32" w:rsidRPr="002C3DC6">
        <w:rPr>
          <w:rFonts w:ascii="Times New Roman" w:eastAsia="Times New Roman" w:hAnsi="Times New Roman" w:cs="Times New Roman"/>
          <w:bCs/>
          <w:sz w:val="24"/>
          <w:szCs w:val="24"/>
          <w:lang w:eastAsia="ru-RU"/>
        </w:rPr>
        <w:t>Журавлевского</w:t>
      </w:r>
      <w:proofErr w:type="spellEnd"/>
      <w:r w:rsidR="00582D32" w:rsidRPr="002C3DC6">
        <w:rPr>
          <w:rFonts w:ascii="Times New Roman" w:eastAsia="Times New Roman" w:hAnsi="Times New Roman" w:cs="Times New Roman"/>
          <w:bCs/>
          <w:sz w:val="24"/>
          <w:szCs w:val="24"/>
          <w:lang w:eastAsia="ru-RU"/>
        </w:rPr>
        <w:t xml:space="preserve"> сельского</w:t>
      </w:r>
      <w:r w:rsidR="00582D32" w:rsidRPr="002C3DC6">
        <w:rPr>
          <w:rFonts w:ascii="Calibri" w:eastAsia="Times New Roman" w:hAnsi="Calibri" w:cs="Times New Roman"/>
          <w:bCs/>
          <w:sz w:val="24"/>
          <w:szCs w:val="24"/>
          <w:lang w:eastAsia="ru-RU"/>
        </w:rPr>
        <w:t xml:space="preserve"> </w:t>
      </w:r>
      <w:r w:rsidR="00582D32" w:rsidRPr="002C3DC6">
        <w:rPr>
          <w:rFonts w:ascii="Times New Roman" w:eastAsia="Times New Roman" w:hAnsi="Times New Roman" w:cs="Times New Roman"/>
          <w:bCs/>
          <w:sz w:val="24"/>
          <w:szCs w:val="24"/>
          <w:lang w:eastAsia="ru-RU"/>
        </w:rPr>
        <w:t>поселения муниципального района «</w:t>
      </w:r>
      <w:r w:rsidR="00582D32" w:rsidRPr="002C3DC6">
        <w:rPr>
          <w:rFonts w:ascii="Times New Roman" w:eastAsia="Times New Roman" w:hAnsi="Times New Roman" w:cs="Times New Roman"/>
          <w:sz w:val="24"/>
          <w:szCs w:val="24"/>
          <w:lang w:eastAsia="ru-RU"/>
        </w:rPr>
        <w:t>Белгородский район» Белгородской области</w:t>
      </w:r>
      <w:r w:rsidR="00582D32">
        <w:rPr>
          <w:rFonts w:ascii="Times New Roman" w:eastAsia="Times New Roman" w:hAnsi="Times New Roman" w:cs="Times New Roman"/>
          <w:sz w:val="24"/>
          <w:szCs w:val="24"/>
          <w:lang w:eastAsia="ru-RU"/>
        </w:rPr>
        <w:t xml:space="preserve"> </w:t>
      </w:r>
      <w:r w:rsidR="00582D32" w:rsidRPr="002C3DC6">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582D32" w:rsidRPr="002C3DC6">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582D32" w:rsidRPr="002C3DC6" w:rsidRDefault="00582D32" w:rsidP="00582D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DC6">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2C3DC6">
        <w:rPr>
          <w:rFonts w:ascii="Times New Roman" w:eastAsia="Times New Roman" w:hAnsi="Times New Roman" w:cs="Times New Roman"/>
          <w:sz w:val="24"/>
          <w:szCs w:val="24"/>
          <w:shd w:val="clear" w:color="auto" w:fill="FFFFFF"/>
          <w:lang w:eastAsia="ru-RU"/>
        </w:rPr>
        <w:t xml:space="preserve">2 населенных пунктов: с. </w:t>
      </w:r>
      <w:proofErr w:type="spellStart"/>
      <w:r w:rsidRPr="002C3DC6">
        <w:rPr>
          <w:rFonts w:ascii="Times New Roman" w:eastAsia="Times New Roman" w:hAnsi="Times New Roman" w:cs="Times New Roman"/>
          <w:sz w:val="24"/>
          <w:szCs w:val="24"/>
          <w:shd w:val="clear" w:color="auto" w:fill="FFFFFF"/>
          <w:lang w:eastAsia="ru-RU"/>
        </w:rPr>
        <w:t>Журавлевска</w:t>
      </w:r>
      <w:proofErr w:type="spellEnd"/>
      <w:r w:rsidRPr="002C3DC6">
        <w:rPr>
          <w:rFonts w:ascii="Times New Roman" w:eastAsia="Times New Roman" w:hAnsi="Times New Roman" w:cs="Times New Roman"/>
          <w:sz w:val="24"/>
          <w:szCs w:val="24"/>
          <w:shd w:val="clear" w:color="auto" w:fill="FFFFFF"/>
          <w:lang w:eastAsia="ru-RU"/>
        </w:rPr>
        <w:t xml:space="preserve">, с. </w:t>
      </w:r>
      <w:proofErr w:type="spellStart"/>
      <w:r w:rsidRPr="002C3DC6">
        <w:rPr>
          <w:rFonts w:ascii="Times New Roman" w:eastAsia="Times New Roman" w:hAnsi="Times New Roman" w:cs="Times New Roman"/>
          <w:sz w:val="24"/>
          <w:szCs w:val="24"/>
          <w:shd w:val="clear" w:color="auto" w:fill="FFFFFF"/>
          <w:lang w:eastAsia="ru-RU"/>
        </w:rPr>
        <w:t>Нехотеевка</w:t>
      </w:r>
      <w:proofErr w:type="spellEnd"/>
      <w:r w:rsidRPr="002C3DC6">
        <w:rPr>
          <w:rFonts w:ascii="Times New Roman" w:eastAsia="Times New Roman" w:hAnsi="Times New Roman" w:cs="Times New Roman"/>
          <w:sz w:val="24"/>
          <w:szCs w:val="24"/>
          <w:lang w:eastAsia="ru-RU"/>
        </w:rPr>
        <w:t xml:space="preserve">. Административный центр – с. Журавлевка. </w:t>
      </w:r>
      <w:proofErr w:type="spellStart"/>
      <w:r w:rsidRPr="002C3DC6">
        <w:rPr>
          <w:rFonts w:ascii="Times New Roman" w:eastAsia="Times New Roman" w:hAnsi="Times New Roman" w:cs="Times New Roman"/>
          <w:bCs/>
          <w:sz w:val="24"/>
          <w:szCs w:val="24"/>
          <w:lang w:eastAsia="ru-RU"/>
        </w:rPr>
        <w:t>Журавлевского</w:t>
      </w:r>
      <w:proofErr w:type="spellEnd"/>
      <w:r w:rsidRPr="002C3DC6">
        <w:rPr>
          <w:rFonts w:ascii="Times New Roman" w:eastAsia="Times New Roman" w:hAnsi="Times New Roman" w:cs="Times New Roman"/>
          <w:sz w:val="24"/>
          <w:szCs w:val="24"/>
          <w:lang w:eastAsia="ru-RU"/>
        </w:rPr>
        <w:t xml:space="preserve"> сельское поселение расположено на площади 5582 га. Общая численность населения составляет 1</w:t>
      </w:r>
      <w:r w:rsidR="001D461C">
        <w:rPr>
          <w:rFonts w:ascii="Times New Roman" w:eastAsia="Times New Roman" w:hAnsi="Times New Roman" w:cs="Times New Roman"/>
          <w:sz w:val="24"/>
          <w:szCs w:val="24"/>
          <w:lang w:eastAsia="ru-RU"/>
        </w:rPr>
        <w:t>427</w:t>
      </w:r>
      <w:bookmarkStart w:id="0" w:name="_GoBack"/>
      <w:bookmarkEnd w:id="0"/>
      <w:r w:rsidRPr="002C3DC6">
        <w:rPr>
          <w:rFonts w:ascii="Times New Roman" w:eastAsia="Times New Roman" w:hAnsi="Times New Roman" w:cs="Times New Roman"/>
          <w:sz w:val="24"/>
          <w:szCs w:val="24"/>
          <w:lang w:eastAsia="ru-RU"/>
        </w:rPr>
        <w:t xml:space="preserve"> человека.</w:t>
      </w:r>
    </w:p>
    <w:p w:rsidR="007A5F88" w:rsidRPr="004865B3" w:rsidRDefault="007A5F88" w:rsidP="007A5F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7A5F88" w:rsidRPr="004865B3" w:rsidRDefault="007A5F88" w:rsidP="007A5F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7A5F88" w:rsidRPr="004865B3" w:rsidRDefault="007A5F88" w:rsidP="007A5F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7A5F88" w:rsidRPr="004865B3" w:rsidRDefault="007A5F88" w:rsidP="007A5F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88" w:rsidRDefault="007A5F88" w:rsidP="007A5F88">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7A5F88" w:rsidRPr="004865B3" w:rsidRDefault="007A5F88" w:rsidP="007A5F88">
      <w:pPr>
        <w:spacing w:after="0" w:line="240" w:lineRule="auto"/>
        <w:contextualSpacing/>
        <w:rPr>
          <w:rFonts w:ascii="Times New Roman" w:eastAsia="Times New Roman" w:hAnsi="Times New Roman" w:cs="Times New Roman"/>
          <w:b/>
          <w:sz w:val="24"/>
          <w:szCs w:val="28"/>
          <w:lang w:eastAsia="ru-RU"/>
        </w:rPr>
      </w:pPr>
    </w:p>
    <w:p w:rsidR="007A5F88" w:rsidRDefault="007A5F88" w:rsidP="007A5F88">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7A5F88" w:rsidRPr="004865B3" w:rsidRDefault="007A5F88" w:rsidP="007A5F88">
      <w:pPr>
        <w:spacing w:after="0" w:line="240" w:lineRule="auto"/>
        <w:ind w:firstLine="709"/>
        <w:contextualSpacing/>
        <w:jc w:val="both"/>
        <w:rPr>
          <w:rFonts w:ascii="Times New Roman" w:eastAsia="Times New Roman" w:hAnsi="Times New Roman" w:cs="Times New Roman"/>
          <w:b/>
          <w:sz w:val="24"/>
          <w:szCs w:val="28"/>
          <w:lang w:eastAsia="ru-RU"/>
        </w:rPr>
      </w:pPr>
    </w:p>
    <w:p w:rsidR="007A5F88" w:rsidRPr="004865B3" w:rsidRDefault="007A5F88" w:rsidP="007A5F88">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7A5F88" w:rsidRDefault="007A5F88" w:rsidP="007A5F88">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7A5F88" w:rsidRPr="004865B3" w:rsidRDefault="007A5F88" w:rsidP="007A5F88">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7A5F88" w:rsidRPr="004865B3" w:rsidRDefault="007A5F88" w:rsidP="007A5F88">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7A5F88" w:rsidRPr="004865B3" w:rsidRDefault="007A5F88" w:rsidP="007A5F88">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7A5F88" w:rsidRPr="004865B3" w:rsidRDefault="007A5F88" w:rsidP="007A5F88">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7A5F88" w:rsidRPr="004865B3" w:rsidRDefault="007A5F88" w:rsidP="007A5F8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7A5F88" w:rsidRPr="004865B3" w:rsidRDefault="007A5F88" w:rsidP="007A5F8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7A5F88" w:rsidRPr="004865B3" w:rsidRDefault="007A5F88" w:rsidP="007A5F8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7A5F88" w:rsidRPr="004865B3" w:rsidRDefault="007A5F88" w:rsidP="007A5F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7A5F88" w:rsidRPr="004865B3" w:rsidRDefault="007A5F88" w:rsidP="007A5F88">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7A5F88" w:rsidRPr="004865B3" w:rsidTr="009268EE">
        <w:tc>
          <w:tcPr>
            <w:tcW w:w="454" w:type="dxa"/>
            <w:vMerge w:val="restart"/>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7A5F88" w:rsidRPr="004865B3" w:rsidTr="009268EE">
        <w:tc>
          <w:tcPr>
            <w:tcW w:w="454" w:type="dxa"/>
            <w:vMerge/>
          </w:tcPr>
          <w:p w:rsidR="007A5F88" w:rsidRPr="004865B3" w:rsidRDefault="007A5F88" w:rsidP="009268EE">
            <w:pPr>
              <w:ind w:left="-124"/>
              <w:contextualSpacing/>
              <w:rPr>
                <w:rFonts w:ascii="Times New Roman" w:eastAsia="Times New Roman" w:hAnsi="Times New Roman" w:cs="Times New Roman"/>
                <w:sz w:val="24"/>
                <w:szCs w:val="28"/>
                <w:lang w:eastAsia="ru-RU"/>
              </w:rPr>
            </w:pPr>
          </w:p>
        </w:tc>
        <w:tc>
          <w:tcPr>
            <w:tcW w:w="3686" w:type="dxa"/>
            <w:vMerge/>
          </w:tcPr>
          <w:p w:rsidR="007A5F88" w:rsidRPr="004865B3" w:rsidRDefault="007A5F88" w:rsidP="009268EE">
            <w:pPr>
              <w:ind w:left="-124"/>
              <w:contextualSpacing/>
              <w:rPr>
                <w:rFonts w:ascii="Times New Roman" w:eastAsia="Times New Roman" w:hAnsi="Times New Roman" w:cs="Times New Roman"/>
                <w:sz w:val="24"/>
                <w:szCs w:val="28"/>
                <w:lang w:eastAsia="ru-RU"/>
              </w:rPr>
            </w:pPr>
          </w:p>
        </w:tc>
        <w:tc>
          <w:tcPr>
            <w:tcW w:w="1418"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7A5F88" w:rsidRPr="004865B3" w:rsidTr="009268EE">
        <w:tc>
          <w:tcPr>
            <w:tcW w:w="45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7A5F88" w:rsidRPr="004865B3" w:rsidRDefault="007A5F88"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7A5F88" w:rsidRPr="004865B3" w:rsidRDefault="007A5F88"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7A5F88" w:rsidRPr="004865B3" w:rsidTr="009268EE">
        <w:tc>
          <w:tcPr>
            <w:tcW w:w="45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7A5F88" w:rsidRPr="004865B3" w:rsidRDefault="007A5F88"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sz w:val="24"/>
          <w:szCs w:val="20"/>
        </w:rPr>
      </w:pP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7A5F88" w:rsidRPr="004865B3" w:rsidRDefault="007A5F88" w:rsidP="007A5F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7A5F88" w:rsidRPr="004865B3" w:rsidRDefault="007A5F88" w:rsidP="007A5F8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5F88" w:rsidRPr="004865B3" w:rsidRDefault="007A5F88" w:rsidP="007A5F88">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7A5F88" w:rsidRPr="004865B3" w:rsidRDefault="007A5F88" w:rsidP="007A5F88">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7A5F88" w:rsidRPr="004865B3" w:rsidTr="009268EE">
        <w:tc>
          <w:tcPr>
            <w:tcW w:w="454" w:type="dxa"/>
            <w:vMerge w:val="restart"/>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7A5F88" w:rsidRPr="004865B3" w:rsidTr="009268EE">
        <w:tc>
          <w:tcPr>
            <w:tcW w:w="454" w:type="dxa"/>
            <w:vMerge/>
          </w:tcPr>
          <w:p w:rsidR="007A5F88" w:rsidRPr="004865B3" w:rsidRDefault="007A5F88" w:rsidP="009268EE">
            <w:pPr>
              <w:ind w:left="-124"/>
              <w:contextualSpacing/>
              <w:rPr>
                <w:rFonts w:ascii="Times New Roman" w:eastAsia="Times New Roman" w:hAnsi="Times New Roman" w:cs="Times New Roman"/>
                <w:sz w:val="24"/>
                <w:szCs w:val="28"/>
                <w:lang w:eastAsia="ru-RU"/>
              </w:rPr>
            </w:pPr>
          </w:p>
        </w:tc>
        <w:tc>
          <w:tcPr>
            <w:tcW w:w="3828" w:type="dxa"/>
            <w:vMerge/>
          </w:tcPr>
          <w:p w:rsidR="007A5F88" w:rsidRPr="004865B3" w:rsidRDefault="007A5F88" w:rsidP="009268EE">
            <w:pPr>
              <w:ind w:left="-124"/>
              <w:contextualSpacing/>
              <w:rPr>
                <w:rFonts w:ascii="Times New Roman" w:eastAsia="Times New Roman" w:hAnsi="Times New Roman" w:cs="Times New Roman"/>
                <w:sz w:val="24"/>
                <w:szCs w:val="28"/>
                <w:lang w:eastAsia="ru-RU"/>
              </w:rPr>
            </w:pPr>
          </w:p>
        </w:tc>
        <w:tc>
          <w:tcPr>
            <w:tcW w:w="1418"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7A5F88" w:rsidRPr="004865B3" w:rsidTr="009268EE">
        <w:tc>
          <w:tcPr>
            <w:tcW w:w="45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7A5F88" w:rsidRPr="004865B3" w:rsidRDefault="007A5F88"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7A5F88" w:rsidRPr="004865B3" w:rsidRDefault="007A5F88"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A5F88" w:rsidRPr="004865B3" w:rsidTr="009268EE">
        <w:tc>
          <w:tcPr>
            <w:tcW w:w="45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7A5F88" w:rsidRPr="004865B3" w:rsidRDefault="007A5F88"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7A5F88" w:rsidRPr="004865B3" w:rsidRDefault="007A5F88"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A5F88" w:rsidRPr="004865B3" w:rsidTr="009268EE">
        <w:tc>
          <w:tcPr>
            <w:tcW w:w="45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7A5F88" w:rsidRPr="004865B3" w:rsidRDefault="007A5F88"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7A5F88" w:rsidRPr="004865B3" w:rsidRDefault="007A5F88"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7A5F88" w:rsidRPr="004865B3" w:rsidRDefault="007A5F88" w:rsidP="009268EE">
            <w:pPr>
              <w:widowControl w:val="0"/>
              <w:jc w:val="center"/>
              <w:rPr>
                <w:rFonts w:ascii="Times New Roman" w:eastAsia="Times New Roman" w:hAnsi="Times New Roman" w:cs="Times New Roman"/>
                <w:sz w:val="24"/>
                <w:szCs w:val="24"/>
              </w:rPr>
            </w:pP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7A5F88" w:rsidRPr="004865B3" w:rsidTr="009268EE">
        <w:tc>
          <w:tcPr>
            <w:tcW w:w="45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7A5F88" w:rsidRPr="004865B3" w:rsidRDefault="007A5F88"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7A5F88" w:rsidRPr="004865B3" w:rsidRDefault="007A5F88"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7A5F88" w:rsidRPr="004865B3" w:rsidRDefault="007A5F88"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7A5F88" w:rsidRPr="004865B3" w:rsidRDefault="007A5F88"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7A5F88" w:rsidRPr="004865B3" w:rsidRDefault="007A5F88" w:rsidP="007A5F88">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7A5F88" w:rsidRPr="004865B3" w:rsidRDefault="007A5F88" w:rsidP="007A5F88">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A5F88" w:rsidRPr="004865B3" w:rsidRDefault="007A5F88" w:rsidP="007A5F88">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A5F88" w:rsidRPr="004865B3" w:rsidRDefault="007A5F88" w:rsidP="007A5F88">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7A5F88" w:rsidRPr="004865B3" w:rsidRDefault="007A5F88" w:rsidP="007A5F88">
      <w:pPr>
        <w:spacing w:after="0" w:line="240" w:lineRule="auto"/>
        <w:rPr>
          <w:rFonts w:ascii="Times New Roman" w:eastAsia="Times New Roman" w:hAnsi="Times New Roman" w:cs="Times New Roman"/>
          <w:sz w:val="24"/>
          <w:szCs w:val="28"/>
          <w:lang w:eastAsia="ru-RU"/>
        </w:rPr>
      </w:pPr>
    </w:p>
    <w:p w:rsidR="007A5F88" w:rsidRPr="004865B3" w:rsidRDefault="007A5F88" w:rsidP="007A5F88">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7A5F88" w:rsidRPr="004865B3" w:rsidRDefault="007A5F88" w:rsidP="007A5F88">
      <w:pPr>
        <w:spacing w:after="0" w:line="240" w:lineRule="auto"/>
        <w:ind w:left="1080"/>
        <w:contextualSpacing/>
        <w:rPr>
          <w:rFonts w:ascii="Times New Roman" w:eastAsia="Times New Roman" w:hAnsi="Times New Roman" w:cs="Times New Roman"/>
          <w:sz w:val="24"/>
          <w:szCs w:val="24"/>
          <w:lang w:eastAsia="ru-RU"/>
        </w:rPr>
      </w:pP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7A5F88" w:rsidRPr="004865B3" w:rsidRDefault="007A5F88" w:rsidP="007A5F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7A5F88" w:rsidRPr="004865B3" w:rsidRDefault="007A5F88" w:rsidP="007A5F88">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7A5F88" w:rsidRPr="004865B3" w:rsidTr="009268EE">
        <w:tc>
          <w:tcPr>
            <w:tcW w:w="3499" w:type="dxa"/>
            <w:vMerge w:val="restart"/>
            <w:tcBorders>
              <w:top w:val="single" w:sz="2" w:space="0" w:color="auto"/>
              <w:left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7A5F88" w:rsidRPr="004865B3" w:rsidTr="009268EE">
        <w:tc>
          <w:tcPr>
            <w:tcW w:w="3499" w:type="dxa"/>
            <w:vMerge/>
            <w:tcBorders>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работающих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7A5F88" w:rsidRPr="004865B3" w:rsidTr="009268EE">
        <w:tc>
          <w:tcPr>
            <w:tcW w:w="349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7A5F88" w:rsidRPr="004865B3" w:rsidTr="009268EE">
        <w:tc>
          <w:tcPr>
            <w:tcW w:w="349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7A5F88" w:rsidRPr="004865B3" w:rsidTr="009268EE">
        <w:tc>
          <w:tcPr>
            <w:tcW w:w="349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7A5F88" w:rsidRPr="004865B3" w:rsidTr="009268EE">
        <w:tc>
          <w:tcPr>
            <w:tcW w:w="349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7A5F88" w:rsidRPr="004865B3" w:rsidTr="009268EE">
        <w:tc>
          <w:tcPr>
            <w:tcW w:w="349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7A5F88" w:rsidRPr="004865B3" w:rsidTr="009268EE">
        <w:tc>
          <w:tcPr>
            <w:tcW w:w="349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7A5F88" w:rsidRPr="004865B3" w:rsidRDefault="007A5F88"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7A5F88" w:rsidRPr="004865B3" w:rsidTr="009268EE">
        <w:tc>
          <w:tcPr>
            <w:tcW w:w="10023" w:type="dxa"/>
            <w:gridSpan w:val="3"/>
            <w:tcBorders>
              <w:top w:val="single" w:sz="2" w:space="0" w:color="auto"/>
            </w:tcBorders>
          </w:tcPr>
          <w:p w:rsidR="007A5F88" w:rsidRPr="004865B3" w:rsidRDefault="007A5F88"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7A5F88" w:rsidRPr="004865B3" w:rsidRDefault="007A5F88"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7A5F88" w:rsidRPr="004865B3" w:rsidRDefault="007A5F88"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7A5F88" w:rsidRPr="004865B3" w:rsidRDefault="007A5F88"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7A5F88" w:rsidRPr="004865B3" w:rsidRDefault="007A5F88" w:rsidP="007A5F88">
      <w:pPr>
        <w:spacing w:after="0" w:line="240" w:lineRule="auto"/>
        <w:rPr>
          <w:rFonts w:ascii="Times New Roman" w:eastAsia="Times New Roman" w:hAnsi="Times New Roman" w:cs="Times New Roman"/>
          <w:sz w:val="24"/>
          <w:szCs w:val="28"/>
          <w:lang w:eastAsia="ru-RU"/>
        </w:rPr>
      </w:pP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7A5F88" w:rsidRPr="004865B3" w:rsidRDefault="007A5F88" w:rsidP="007A5F88">
      <w:pPr>
        <w:spacing w:after="0" w:line="240" w:lineRule="auto"/>
        <w:rPr>
          <w:rFonts w:ascii="Times New Roman" w:eastAsia="Times New Roman" w:hAnsi="Times New Roman" w:cs="Times New Roman"/>
          <w:sz w:val="24"/>
          <w:szCs w:val="28"/>
          <w:lang w:eastAsia="ru-RU"/>
        </w:rPr>
      </w:pPr>
    </w:p>
    <w:p w:rsidR="007A5F88" w:rsidRPr="004865B3" w:rsidRDefault="007A5F88" w:rsidP="007A5F88">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7A5F88" w:rsidRPr="004865B3" w:rsidRDefault="007A5F88" w:rsidP="007A5F88">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7A5F88" w:rsidRPr="004865B3" w:rsidRDefault="007A5F88" w:rsidP="007A5F88">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7A5F88" w:rsidRPr="004865B3" w:rsidRDefault="007A5F88" w:rsidP="007A5F88">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7A5F88" w:rsidRPr="004865B3" w:rsidRDefault="007A5F88" w:rsidP="007A5F88">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7A5F88" w:rsidRPr="004865B3" w:rsidTr="009268EE">
        <w:tc>
          <w:tcPr>
            <w:tcW w:w="493" w:type="dxa"/>
            <w:vMerge w:val="restart"/>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7A5F88" w:rsidRPr="004865B3" w:rsidTr="009268EE">
        <w:tc>
          <w:tcPr>
            <w:tcW w:w="493" w:type="dxa"/>
            <w:vMerge/>
          </w:tcPr>
          <w:p w:rsidR="007A5F88" w:rsidRPr="004865B3" w:rsidRDefault="007A5F88" w:rsidP="009268EE">
            <w:pPr>
              <w:ind w:right="20"/>
              <w:jc w:val="both"/>
              <w:rPr>
                <w:rFonts w:ascii="Times New Roman" w:eastAsia="Times New Roman" w:hAnsi="Times New Roman" w:cs="Times New Roman"/>
                <w:sz w:val="24"/>
                <w:szCs w:val="24"/>
                <w:lang w:eastAsia="ru-RU"/>
              </w:rPr>
            </w:pPr>
          </w:p>
        </w:tc>
        <w:tc>
          <w:tcPr>
            <w:tcW w:w="4368" w:type="dxa"/>
            <w:vMerge/>
          </w:tcPr>
          <w:p w:rsidR="007A5F88" w:rsidRPr="004865B3" w:rsidRDefault="007A5F88" w:rsidP="009268EE">
            <w:pPr>
              <w:ind w:right="20"/>
              <w:jc w:val="both"/>
              <w:rPr>
                <w:rFonts w:ascii="Times New Roman" w:eastAsia="Times New Roman" w:hAnsi="Times New Roman" w:cs="Times New Roman"/>
                <w:sz w:val="24"/>
                <w:szCs w:val="24"/>
                <w:lang w:eastAsia="ru-RU"/>
              </w:rPr>
            </w:pPr>
          </w:p>
        </w:tc>
        <w:tc>
          <w:tcPr>
            <w:tcW w:w="2123" w:type="dxa"/>
          </w:tcPr>
          <w:p w:rsidR="007A5F88" w:rsidRPr="004865B3" w:rsidRDefault="007A5F88"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7A5F88" w:rsidRPr="004865B3" w:rsidRDefault="007A5F88"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7A5F88" w:rsidRPr="004865B3" w:rsidTr="009268EE">
        <w:tc>
          <w:tcPr>
            <w:tcW w:w="493"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7A5F88" w:rsidRPr="004865B3" w:rsidRDefault="007A5F88" w:rsidP="009268EE">
            <w:pPr>
              <w:ind w:right="20"/>
              <w:jc w:val="center"/>
              <w:rPr>
                <w:rFonts w:ascii="Times New Roman" w:eastAsia="Times New Roman" w:hAnsi="Times New Roman" w:cs="Times New Roman"/>
                <w:sz w:val="24"/>
                <w:szCs w:val="24"/>
                <w:lang w:eastAsia="ru-RU"/>
              </w:rPr>
            </w:pPr>
          </w:p>
        </w:tc>
      </w:tr>
      <w:tr w:rsidR="007A5F88" w:rsidRPr="004865B3" w:rsidTr="009268EE">
        <w:tc>
          <w:tcPr>
            <w:tcW w:w="493"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7A5F88" w:rsidRPr="004865B3" w:rsidTr="009268EE">
        <w:tc>
          <w:tcPr>
            <w:tcW w:w="493"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7A5F88" w:rsidRPr="004865B3" w:rsidTr="009268EE">
        <w:tc>
          <w:tcPr>
            <w:tcW w:w="493"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7A5F88" w:rsidRPr="004865B3" w:rsidTr="009268EE">
        <w:tc>
          <w:tcPr>
            <w:tcW w:w="493"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7A5F88" w:rsidRPr="004865B3" w:rsidRDefault="007A5F88"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7A5F88" w:rsidRPr="004865B3" w:rsidRDefault="007A5F88"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7A5F88" w:rsidRPr="004865B3" w:rsidRDefault="007A5F88" w:rsidP="007A5F88">
      <w:pPr>
        <w:spacing w:after="0" w:line="240" w:lineRule="auto"/>
        <w:ind w:right="20"/>
        <w:jc w:val="both"/>
        <w:rPr>
          <w:rFonts w:ascii="Times New Roman" w:eastAsia="Times New Roman" w:hAnsi="Times New Roman" w:cs="Times New Roman"/>
          <w:sz w:val="24"/>
          <w:szCs w:val="24"/>
          <w:lang w:eastAsia="ru-RU"/>
        </w:rPr>
      </w:pPr>
    </w:p>
    <w:p w:rsidR="007A5F88" w:rsidRPr="004865B3" w:rsidRDefault="007A5F88" w:rsidP="007A5F88">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7A5F88" w:rsidRPr="004865B3" w:rsidRDefault="007A5F88" w:rsidP="007A5F88">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7A5F88"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7A5F88"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7A5F88"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7A5F88"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7A5F88" w:rsidRPr="004865B3" w:rsidRDefault="007A5F88" w:rsidP="007A5F88">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7A5F88" w:rsidRPr="004865B3" w:rsidRDefault="007A5F88" w:rsidP="007A5F88">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7A5F88" w:rsidRPr="004865B3" w:rsidRDefault="007A5F88" w:rsidP="007A5F88">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7A5F88" w:rsidRPr="004865B3" w:rsidRDefault="007A5F88" w:rsidP="007A5F88">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7A5F88" w:rsidRPr="004865B3" w:rsidRDefault="007A5F88" w:rsidP="007A5F88">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7A5F88" w:rsidRPr="004865B3" w:rsidRDefault="007A5F88" w:rsidP="007A5F88">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7A5F88" w:rsidRPr="004865B3" w:rsidRDefault="007A5F88" w:rsidP="007A5F88">
      <w:pPr>
        <w:spacing w:after="0" w:line="240" w:lineRule="auto"/>
        <w:ind w:firstLine="708"/>
        <w:jc w:val="both"/>
        <w:rPr>
          <w:rFonts w:ascii="Times New Roman" w:eastAsia="Times New Roman" w:hAnsi="Times New Roman" w:cs="Times New Roman"/>
          <w:sz w:val="24"/>
          <w:szCs w:val="28"/>
          <w:lang w:eastAsia="ru-RU"/>
        </w:rPr>
      </w:pPr>
    </w:p>
    <w:p w:rsidR="007A5F88" w:rsidRPr="004865B3" w:rsidRDefault="007A5F88" w:rsidP="007A5F88">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7A5F88" w:rsidRPr="004865B3" w:rsidRDefault="007A5F88" w:rsidP="007A5F88">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7A5F88"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7A5F88" w:rsidRPr="004865B3" w:rsidTr="009268EE">
        <w:trPr>
          <w:trHeight w:hRule="exact" w:val="283"/>
        </w:trPr>
        <w:tc>
          <w:tcPr>
            <w:tcW w:w="5213" w:type="dxa"/>
            <w:vMerge/>
            <w:tcBorders>
              <w:left w:val="single" w:sz="4" w:space="0" w:color="auto"/>
            </w:tcBorders>
            <w:shd w:val="clear" w:color="auto" w:fill="FFFFFF"/>
            <w:vAlign w:val="center"/>
          </w:tcPr>
          <w:p w:rsidR="007A5F88" w:rsidRPr="004865B3" w:rsidRDefault="007A5F88"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7A5F88"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7A5F88"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7A5F88"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7A5F88"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7A5F88"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7A5F88"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7A5F88" w:rsidRPr="004865B3" w:rsidRDefault="007A5F88" w:rsidP="007A5F88">
      <w:pPr>
        <w:spacing w:after="0" w:line="240" w:lineRule="auto"/>
        <w:ind w:firstLine="708"/>
        <w:jc w:val="both"/>
        <w:rPr>
          <w:rFonts w:ascii="Times New Roman" w:eastAsia="Times New Roman" w:hAnsi="Times New Roman" w:cs="Times New Roman"/>
          <w:sz w:val="24"/>
          <w:szCs w:val="28"/>
          <w:lang w:eastAsia="ru-RU"/>
        </w:rPr>
      </w:pPr>
    </w:p>
    <w:p w:rsidR="007A5F88" w:rsidRPr="004865B3" w:rsidRDefault="007A5F88" w:rsidP="007A5F88">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7A5F88" w:rsidRPr="004865B3" w:rsidRDefault="007A5F88" w:rsidP="007A5F88">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7A5F88" w:rsidRPr="004865B3" w:rsidTr="009268EE">
        <w:tc>
          <w:tcPr>
            <w:tcW w:w="4140" w:type="dxa"/>
            <w:vMerge w:val="restart"/>
          </w:tcPr>
          <w:p w:rsidR="007A5F88" w:rsidRPr="004865B3" w:rsidRDefault="007A5F88"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7A5F88" w:rsidRPr="004865B3" w:rsidRDefault="007A5F88" w:rsidP="009268EE">
            <w:pPr>
              <w:jc w:val="both"/>
              <w:rPr>
                <w:rFonts w:ascii="Times New Roman" w:eastAsia="Times New Roman" w:hAnsi="Times New Roman" w:cs="Times New Roman"/>
                <w:sz w:val="24"/>
                <w:szCs w:val="28"/>
                <w:lang w:eastAsia="ru-RU"/>
              </w:rPr>
            </w:pPr>
          </w:p>
        </w:tc>
        <w:tc>
          <w:tcPr>
            <w:tcW w:w="1701" w:type="dxa"/>
            <w:vMerge w:val="restart"/>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7A5F88" w:rsidRPr="004865B3" w:rsidRDefault="007A5F88" w:rsidP="009268EE">
            <w:pPr>
              <w:jc w:val="both"/>
              <w:rPr>
                <w:rFonts w:ascii="Times New Roman" w:eastAsia="Times New Roman" w:hAnsi="Times New Roman" w:cs="Times New Roman"/>
                <w:sz w:val="24"/>
                <w:szCs w:val="28"/>
                <w:lang w:eastAsia="ru-RU"/>
              </w:rPr>
            </w:pPr>
            <w:proofErr w:type="spellStart"/>
            <w:r w:rsidRPr="004865B3">
              <w:rPr>
                <w:rFonts w:ascii="Times New Roman" w:eastAsia="Times New Roman" w:hAnsi="Times New Roman" w:cs="Times New Roman"/>
                <w:sz w:val="24"/>
                <w:szCs w:val="28"/>
                <w:lang w:eastAsia="ru-RU"/>
              </w:rPr>
              <w:t>сть</w:t>
            </w:r>
            <w:proofErr w:type="spell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7A5F88" w:rsidRPr="004865B3" w:rsidTr="009268EE">
        <w:tc>
          <w:tcPr>
            <w:tcW w:w="4140" w:type="dxa"/>
            <w:vMerge/>
          </w:tcPr>
          <w:p w:rsidR="007A5F88" w:rsidRPr="004865B3" w:rsidRDefault="007A5F88" w:rsidP="009268EE">
            <w:pPr>
              <w:jc w:val="both"/>
              <w:rPr>
                <w:rFonts w:ascii="Times New Roman" w:eastAsia="Times New Roman" w:hAnsi="Times New Roman" w:cs="Times New Roman"/>
                <w:sz w:val="24"/>
                <w:szCs w:val="28"/>
                <w:lang w:eastAsia="ru-RU"/>
              </w:rPr>
            </w:pPr>
          </w:p>
        </w:tc>
        <w:tc>
          <w:tcPr>
            <w:tcW w:w="1701" w:type="dxa"/>
            <w:vMerge/>
          </w:tcPr>
          <w:p w:rsidR="007A5F88" w:rsidRPr="004865B3" w:rsidRDefault="007A5F88" w:rsidP="009268EE">
            <w:pPr>
              <w:jc w:val="both"/>
              <w:rPr>
                <w:rFonts w:ascii="Times New Roman" w:eastAsia="Times New Roman" w:hAnsi="Times New Roman" w:cs="Times New Roman"/>
                <w:sz w:val="24"/>
                <w:szCs w:val="28"/>
                <w:lang w:eastAsia="ru-RU"/>
              </w:rPr>
            </w:pPr>
          </w:p>
        </w:tc>
        <w:tc>
          <w:tcPr>
            <w:tcW w:w="115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7A5F88" w:rsidRPr="004865B3" w:rsidRDefault="007A5F88" w:rsidP="009268EE">
            <w:pPr>
              <w:jc w:val="both"/>
              <w:rPr>
                <w:rFonts w:ascii="Times New Roman" w:eastAsia="Times New Roman" w:hAnsi="Times New Roman" w:cs="Times New Roman"/>
                <w:sz w:val="24"/>
                <w:szCs w:val="28"/>
                <w:lang w:eastAsia="ru-RU"/>
              </w:rPr>
            </w:pPr>
          </w:p>
        </w:tc>
      </w:tr>
      <w:tr w:rsidR="007A5F88" w:rsidRPr="004865B3" w:rsidTr="009268EE">
        <w:tc>
          <w:tcPr>
            <w:tcW w:w="9810" w:type="dxa"/>
            <w:gridSpan w:val="5"/>
          </w:tcPr>
          <w:p w:rsidR="007A5F88" w:rsidRPr="004865B3" w:rsidRDefault="007A5F88"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7A5F88" w:rsidRPr="004865B3" w:rsidTr="009268EE">
        <w:tc>
          <w:tcPr>
            <w:tcW w:w="4140"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5F88" w:rsidRPr="004865B3" w:rsidTr="009268EE">
        <w:tc>
          <w:tcPr>
            <w:tcW w:w="4140"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5F88" w:rsidRPr="004865B3" w:rsidTr="009268EE">
        <w:tc>
          <w:tcPr>
            <w:tcW w:w="9810" w:type="dxa"/>
            <w:gridSpan w:val="5"/>
          </w:tcPr>
          <w:p w:rsidR="007A5F88" w:rsidRPr="004865B3" w:rsidRDefault="007A5F88"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7A5F88" w:rsidRPr="004865B3" w:rsidTr="009268EE">
        <w:tc>
          <w:tcPr>
            <w:tcW w:w="4140" w:type="dxa"/>
          </w:tcPr>
          <w:p w:rsidR="007A5F88" w:rsidRPr="004865B3" w:rsidRDefault="007A5F88"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5F88" w:rsidRPr="004865B3" w:rsidTr="009268EE">
        <w:tc>
          <w:tcPr>
            <w:tcW w:w="4140"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7A5F88" w:rsidRPr="004865B3" w:rsidTr="009268EE">
        <w:tc>
          <w:tcPr>
            <w:tcW w:w="4140" w:type="dxa"/>
          </w:tcPr>
          <w:p w:rsidR="007A5F88" w:rsidRPr="004865B3" w:rsidRDefault="007A5F88"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7A5F88" w:rsidRPr="004865B3" w:rsidTr="009268EE">
        <w:tc>
          <w:tcPr>
            <w:tcW w:w="4140" w:type="dxa"/>
          </w:tcPr>
          <w:p w:rsidR="007A5F88" w:rsidRPr="004865B3" w:rsidRDefault="007A5F88"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7A5F88" w:rsidRPr="004865B3" w:rsidRDefault="007A5F88"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7A5F88" w:rsidRPr="004865B3" w:rsidRDefault="007A5F88"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7A5F88" w:rsidRPr="004865B3" w:rsidRDefault="007A5F88"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7A5F88" w:rsidRPr="004865B3" w:rsidRDefault="007A5F88"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7A5F88" w:rsidRPr="004865B3" w:rsidTr="009268EE">
        <w:tc>
          <w:tcPr>
            <w:tcW w:w="4140"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5F88" w:rsidRPr="004865B3" w:rsidTr="009268EE">
        <w:tc>
          <w:tcPr>
            <w:tcW w:w="4140"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5F88" w:rsidRPr="004865B3" w:rsidTr="009268EE">
        <w:tc>
          <w:tcPr>
            <w:tcW w:w="4140" w:type="dxa"/>
            <w:vAlign w:val="bottom"/>
          </w:tcPr>
          <w:p w:rsidR="007A5F88" w:rsidRPr="004865B3" w:rsidRDefault="007A5F88"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7A5F88" w:rsidRPr="004865B3" w:rsidTr="009268EE">
        <w:trPr>
          <w:trHeight w:val="495"/>
        </w:trPr>
        <w:tc>
          <w:tcPr>
            <w:tcW w:w="4140" w:type="dxa"/>
          </w:tcPr>
          <w:p w:rsidR="007A5F88" w:rsidRPr="004865B3" w:rsidRDefault="007A5F88"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7A5F88" w:rsidRPr="004865B3" w:rsidRDefault="007A5F88"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7A5F88" w:rsidRPr="004865B3" w:rsidTr="009268EE">
        <w:tc>
          <w:tcPr>
            <w:tcW w:w="4140"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A5F88" w:rsidRPr="004865B3" w:rsidTr="009268EE">
        <w:tc>
          <w:tcPr>
            <w:tcW w:w="4140"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A5F88" w:rsidRPr="004865B3" w:rsidTr="009268EE">
        <w:tc>
          <w:tcPr>
            <w:tcW w:w="4140" w:type="dxa"/>
          </w:tcPr>
          <w:p w:rsidR="007A5F88" w:rsidRPr="004865B3" w:rsidRDefault="007A5F88"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7A5F88" w:rsidRPr="004865B3" w:rsidTr="009268EE">
        <w:tc>
          <w:tcPr>
            <w:tcW w:w="4140"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5F88" w:rsidRPr="004865B3" w:rsidTr="009268EE">
        <w:tc>
          <w:tcPr>
            <w:tcW w:w="4140"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7A5F88" w:rsidRPr="004865B3" w:rsidRDefault="007A5F88"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7A5F88" w:rsidRPr="004865B3" w:rsidTr="009268EE">
        <w:tc>
          <w:tcPr>
            <w:tcW w:w="4140" w:type="dxa"/>
            <w:vAlign w:val="bottom"/>
          </w:tcPr>
          <w:p w:rsidR="007A5F88" w:rsidRPr="004865B3" w:rsidRDefault="007A5F88"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5F88" w:rsidRPr="004865B3" w:rsidTr="009268EE">
        <w:tc>
          <w:tcPr>
            <w:tcW w:w="9810" w:type="dxa"/>
            <w:gridSpan w:val="5"/>
          </w:tcPr>
          <w:p w:rsidR="007A5F88" w:rsidRPr="004865B3" w:rsidRDefault="007A5F88"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7A5F88" w:rsidRPr="004865B3" w:rsidRDefault="007A5F88" w:rsidP="009268EE">
            <w:pPr>
              <w:rPr>
                <w:rFonts w:ascii="Times New Roman" w:eastAsia="Times New Roman" w:hAnsi="Times New Roman" w:cs="Times New Roman"/>
                <w:lang w:eastAsia="ru-RU"/>
              </w:rPr>
            </w:pPr>
          </w:p>
        </w:tc>
        <w:tc>
          <w:tcPr>
            <w:tcW w:w="1627" w:type="dxa"/>
          </w:tcPr>
          <w:p w:rsidR="007A5F88" w:rsidRPr="004865B3" w:rsidRDefault="007A5F88" w:rsidP="009268EE">
            <w:pPr>
              <w:rPr>
                <w:rFonts w:ascii="Times New Roman" w:eastAsia="Times New Roman" w:hAnsi="Times New Roman" w:cs="Times New Roman"/>
                <w:lang w:eastAsia="ru-RU"/>
              </w:rPr>
            </w:pP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7A5F88" w:rsidRPr="004865B3" w:rsidTr="009268EE">
        <w:tc>
          <w:tcPr>
            <w:tcW w:w="4140"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7A5F88" w:rsidRPr="004865B3" w:rsidRDefault="007A5F88"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7A5F88" w:rsidRPr="004865B3" w:rsidRDefault="007A5F88"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7A5F88" w:rsidRPr="004865B3" w:rsidRDefault="007A5F88" w:rsidP="007A5F88">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7A5F88" w:rsidRPr="004865B3" w:rsidRDefault="007A5F88" w:rsidP="007A5F88">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7A5F88" w:rsidRPr="004865B3" w:rsidRDefault="007A5F88" w:rsidP="007A5F88">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7A5F88" w:rsidRPr="004865B3" w:rsidRDefault="007A5F88" w:rsidP="007A5F88">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7A5F88" w:rsidRPr="004865B3" w:rsidRDefault="007A5F88" w:rsidP="007A5F88">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7A5F88" w:rsidRPr="004865B3" w:rsidRDefault="007A5F88" w:rsidP="007A5F88">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7A5F88" w:rsidRPr="004865B3" w:rsidRDefault="007A5F88" w:rsidP="007A5F88">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7A5F88" w:rsidRPr="004865B3" w:rsidRDefault="007A5F88" w:rsidP="007A5F88">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7A5F88" w:rsidRPr="004865B3" w:rsidRDefault="007A5F88" w:rsidP="007A5F88">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7A5F88" w:rsidRPr="004865B3" w:rsidRDefault="007A5F88" w:rsidP="007A5F88">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7A5F88" w:rsidRPr="004865B3" w:rsidRDefault="007A5F88" w:rsidP="007A5F88">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7A5F88" w:rsidRPr="004865B3" w:rsidRDefault="007A5F88" w:rsidP="007A5F88">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7A5F88" w:rsidRPr="004865B3" w:rsidRDefault="007A5F88" w:rsidP="007A5F88">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7A5F88" w:rsidRPr="004865B3" w:rsidRDefault="007A5F88" w:rsidP="007A5F88">
      <w:pPr>
        <w:spacing w:after="0" w:line="240" w:lineRule="auto"/>
        <w:ind w:firstLine="708"/>
        <w:jc w:val="both"/>
        <w:rPr>
          <w:rFonts w:ascii="Times New Roman" w:eastAsia="Times New Roman" w:hAnsi="Times New Roman" w:cs="Times New Roman"/>
          <w:sz w:val="24"/>
          <w:szCs w:val="28"/>
          <w:lang w:eastAsia="ru-RU"/>
        </w:rPr>
      </w:pPr>
    </w:p>
    <w:p w:rsidR="007A5F88" w:rsidRPr="004865B3" w:rsidRDefault="007A5F88" w:rsidP="007A5F88">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7A5F88" w:rsidRPr="004865B3" w:rsidRDefault="007A5F88" w:rsidP="007A5F88">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7A5F88" w:rsidRDefault="007A5F88" w:rsidP="007A5F88">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7A5F88" w:rsidRPr="004865B3" w:rsidTr="009268EE">
        <w:trPr>
          <w:trHeight w:hRule="exact" w:val="578"/>
        </w:trPr>
        <w:tc>
          <w:tcPr>
            <w:tcW w:w="4932" w:type="dxa"/>
            <w:tcBorders>
              <w:top w:val="single" w:sz="4" w:space="0" w:color="auto"/>
              <w:left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7A5F88"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7A5F88"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7A5F88"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7A5F88"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7A5F88"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7A5F88"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7A5F88" w:rsidRPr="004865B3" w:rsidRDefault="007A5F88"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7A5F88" w:rsidRPr="004865B3" w:rsidRDefault="007A5F88" w:rsidP="007A5F88">
      <w:pPr>
        <w:spacing w:after="18" w:line="240" w:lineRule="auto"/>
        <w:ind w:right="20"/>
        <w:jc w:val="right"/>
        <w:rPr>
          <w:rFonts w:ascii="Times New Roman" w:eastAsia="Times New Roman" w:hAnsi="Times New Roman" w:cs="Times New Roman"/>
          <w:sz w:val="24"/>
          <w:szCs w:val="24"/>
          <w:lang w:eastAsia="ru-RU"/>
        </w:rPr>
      </w:pPr>
    </w:p>
    <w:p w:rsidR="007A5F88" w:rsidRPr="004865B3" w:rsidRDefault="007A5F88" w:rsidP="007A5F88">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7A5F88" w:rsidRPr="004865B3" w:rsidRDefault="007A5F88" w:rsidP="007A5F88">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7A5F88" w:rsidRPr="004865B3" w:rsidRDefault="007A5F88" w:rsidP="007A5F88">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7A5F88" w:rsidRPr="004865B3" w:rsidRDefault="007A5F88" w:rsidP="007A5F88">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7A5F88" w:rsidRPr="004865B3" w:rsidRDefault="007A5F88" w:rsidP="007A5F88">
      <w:pPr>
        <w:spacing w:after="0" w:line="240" w:lineRule="auto"/>
        <w:ind w:right="20" w:firstLine="708"/>
        <w:jc w:val="both"/>
        <w:rPr>
          <w:rFonts w:ascii="Times New Roman" w:eastAsia="Times New Roman" w:hAnsi="Times New Roman" w:cs="Times New Roman"/>
          <w:sz w:val="24"/>
          <w:szCs w:val="24"/>
          <w:lang w:eastAsia="ru-RU"/>
        </w:rPr>
      </w:pPr>
    </w:p>
    <w:p w:rsidR="007A5F88" w:rsidRPr="004865B3" w:rsidRDefault="007A5F88" w:rsidP="007A5F88">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7A5F88" w:rsidRPr="004865B3" w:rsidRDefault="007A5F88" w:rsidP="007A5F88">
      <w:pPr>
        <w:spacing w:after="0" w:line="240" w:lineRule="auto"/>
        <w:ind w:right="20" w:firstLine="708"/>
        <w:jc w:val="both"/>
        <w:rPr>
          <w:rFonts w:ascii="Times New Roman" w:eastAsia="Times New Roman" w:hAnsi="Times New Roman" w:cs="Times New Roman"/>
          <w:b/>
          <w:sz w:val="24"/>
          <w:szCs w:val="24"/>
          <w:lang w:eastAsia="ru-RU"/>
        </w:rPr>
      </w:pPr>
    </w:p>
    <w:p w:rsidR="007A5F88" w:rsidRPr="004865B3" w:rsidRDefault="007A5F88" w:rsidP="007A5F88">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7A5F88" w:rsidRPr="004865B3" w:rsidRDefault="007A5F88" w:rsidP="007A5F88">
      <w:pPr>
        <w:spacing w:after="0" w:line="240" w:lineRule="auto"/>
        <w:ind w:right="20" w:firstLine="708"/>
        <w:jc w:val="both"/>
        <w:rPr>
          <w:rFonts w:ascii="Times New Roman" w:eastAsia="Times New Roman" w:hAnsi="Times New Roman" w:cs="Times New Roman"/>
          <w:sz w:val="24"/>
          <w:szCs w:val="24"/>
          <w:lang w:eastAsia="ru-RU"/>
        </w:rPr>
      </w:pPr>
    </w:p>
    <w:p w:rsidR="007A5F88" w:rsidRPr="004865B3" w:rsidRDefault="007A5F88" w:rsidP="007A5F88">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7A5F88" w:rsidRPr="004865B3" w:rsidRDefault="007A5F88" w:rsidP="007A5F88">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7A5F88" w:rsidRPr="004865B3" w:rsidRDefault="007A5F88" w:rsidP="007A5F88">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7A5F88"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7A5F88"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5F88"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5F88"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r w:rsidRPr="004865B3">
              <w:rPr>
                <w:rFonts w:ascii="Times New Roman" w:eastAsia="Times New Roman" w:hAnsi="Times New Roman" w:cs="Times New Roman"/>
                <w:sz w:val="24"/>
                <w:szCs w:val="24"/>
                <w:lang w:eastAsia="ru-RU"/>
              </w:rPr>
              <w:t>измере-ния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5F88"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7A5F88"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r>
    </w:tbl>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p>
    <w:p w:rsidR="007A5F88" w:rsidRPr="004865B3" w:rsidRDefault="007A5F88" w:rsidP="007A5F88">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7A5F88" w:rsidRPr="004865B3" w:rsidRDefault="007A5F88" w:rsidP="007A5F88">
      <w:pPr>
        <w:autoSpaceDE w:val="0"/>
        <w:autoSpaceDN w:val="0"/>
        <w:adjustRightInd w:val="0"/>
        <w:spacing w:after="0" w:line="240" w:lineRule="auto"/>
        <w:jc w:val="both"/>
        <w:rPr>
          <w:rFonts w:ascii="Times New Roman" w:eastAsia="Calibri" w:hAnsi="Times New Roman" w:cs="Times New Roman"/>
          <w:b/>
          <w:bCs/>
          <w:sz w:val="24"/>
          <w:szCs w:val="24"/>
        </w:rPr>
      </w:pPr>
    </w:p>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7A5F88" w:rsidRPr="004865B3" w:rsidTr="009268EE">
        <w:tc>
          <w:tcPr>
            <w:tcW w:w="9952" w:type="dxa"/>
            <w:gridSpan w:val="6"/>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7A5F88" w:rsidRPr="004865B3" w:rsidRDefault="007A5F88"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7A5F88" w:rsidRPr="004865B3" w:rsidRDefault="007A5F88"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7A5F88" w:rsidRPr="004865B3" w:rsidRDefault="007A5F88"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7A5F88" w:rsidRPr="004865B3" w:rsidTr="009268EE">
        <w:tc>
          <w:tcPr>
            <w:tcW w:w="1872"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7A5F88" w:rsidRPr="004865B3" w:rsidRDefault="007A5F88"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7A5F88" w:rsidRPr="004865B3" w:rsidRDefault="007A5F88"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7A5F88" w:rsidRPr="004865B3" w:rsidRDefault="007A5F88" w:rsidP="007A5F88">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7A5F88" w:rsidRPr="004865B3" w:rsidRDefault="007A5F88" w:rsidP="007A5F88">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7A5F88"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5F88"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5F88"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5F88"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7A5F88"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8"/>
                <w:szCs w:val="28"/>
                <w:lang w:eastAsia="ru-RU"/>
              </w:rPr>
            </w:pPr>
          </w:p>
        </w:tc>
      </w:tr>
      <w:tr w:rsidR="007A5F88"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7A5F88"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7A5F88"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8"/>
                <w:lang w:eastAsia="ru-RU"/>
              </w:rPr>
            </w:pPr>
          </w:p>
        </w:tc>
      </w:tr>
    </w:tbl>
    <w:p w:rsidR="007A5F88" w:rsidRPr="004865B3" w:rsidRDefault="007A5F88" w:rsidP="007A5F88">
      <w:pPr>
        <w:spacing w:after="0" w:line="240" w:lineRule="auto"/>
        <w:ind w:left="1080"/>
        <w:contextualSpacing/>
        <w:rPr>
          <w:rFonts w:ascii="Times New Roman" w:eastAsia="Times New Roman" w:hAnsi="Times New Roman" w:cs="Times New Roman"/>
          <w:b/>
          <w:sz w:val="24"/>
          <w:szCs w:val="28"/>
          <w:lang w:eastAsia="ru-RU"/>
        </w:rPr>
      </w:pPr>
    </w:p>
    <w:p w:rsidR="007A5F88" w:rsidRPr="004865B3" w:rsidRDefault="007A5F88" w:rsidP="007A5F88">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7A5F88"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5F88"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5F88"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5F88"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5F88"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7A5F88"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7A5F88" w:rsidRPr="004865B3" w:rsidRDefault="007A5F88" w:rsidP="007A5F88">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7A5F88" w:rsidRPr="004865B3" w:rsidRDefault="007A5F88" w:rsidP="007A5F88">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7A5F88" w:rsidRPr="004865B3" w:rsidRDefault="007A5F88" w:rsidP="007A5F88">
      <w:pPr>
        <w:spacing w:after="0" w:line="240" w:lineRule="auto"/>
        <w:ind w:firstLine="708"/>
        <w:jc w:val="both"/>
        <w:rPr>
          <w:rFonts w:ascii="Times New Roman" w:eastAsia="Times New Roman" w:hAnsi="Times New Roman" w:cs="Times New Roman"/>
          <w:lang w:eastAsia="ru-RU"/>
        </w:rPr>
      </w:pPr>
    </w:p>
    <w:p w:rsidR="007A5F88" w:rsidRPr="004865B3" w:rsidRDefault="007A5F88" w:rsidP="007A5F88">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7A5F88" w:rsidRPr="004865B3" w:rsidRDefault="007A5F88" w:rsidP="007A5F88">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7A5F88"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5F88"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5F88"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5F88"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7A5F88"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7A5F88" w:rsidRPr="004865B3" w:rsidRDefault="007A5F88"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7A5F88" w:rsidRPr="004865B3" w:rsidRDefault="007A5F88"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7A5F88"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r>
      <w:tr w:rsidR="007A5F88"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r>
    </w:tbl>
    <w:p w:rsidR="007A5F88" w:rsidRPr="004865B3" w:rsidRDefault="007A5F88" w:rsidP="007A5F88">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7A5F88" w:rsidRPr="004865B3" w:rsidRDefault="007A5F88" w:rsidP="007A5F88">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7A5F88"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7A5F88"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7A5F88"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7A5F88"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7A5F88"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7A5F88"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5F88"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F88" w:rsidRPr="004865B3" w:rsidRDefault="007A5F88"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7A5F88" w:rsidRPr="004865B3" w:rsidRDefault="007A5F88" w:rsidP="007A5F88">
      <w:pPr>
        <w:spacing w:after="0" w:line="240" w:lineRule="auto"/>
        <w:jc w:val="both"/>
        <w:rPr>
          <w:rFonts w:ascii="Times New Roman" w:eastAsia="Times New Roman" w:hAnsi="Times New Roman" w:cs="Times New Roman"/>
          <w:b/>
          <w:sz w:val="24"/>
          <w:szCs w:val="28"/>
          <w:lang w:eastAsia="ru-RU"/>
        </w:rPr>
      </w:pPr>
    </w:p>
    <w:p w:rsidR="007A5F88" w:rsidRPr="004865B3" w:rsidRDefault="007A5F88" w:rsidP="007A5F88">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7A5F88" w:rsidRPr="004865B3" w:rsidRDefault="007A5F88" w:rsidP="007A5F88">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7A5F88" w:rsidRPr="004865B3" w:rsidRDefault="007A5F88" w:rsidP="007A5F88">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7A5F88" w:rsidRPr="004865B3" w:rsidTr="009268EE">
        <w:tc>
          <w:tcPr>
            <w:tcW w:w="5240" w:type="dxa"/>
            <w:vMerge w:val="restart"/>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7A5F88" w:rsidRPr="004865B3" w:rsidTr="009268EE">
        <w:tc>
          <w:tcPr>
            <w:tcW w:w="5240" w:type="dxa"/>
            <w:vMerge/>
          </w:tcPr>
          <w:p w:rsidR="007A5F88" w:rsidRPr="004865B3" w:rsidRDefault="007A5F88" w:rsidP="009268EE">
            <w:pPr>
              <w:jc w:val="both"/>
              <w:rPr>
                <w:rFonts w:ascii="Times New Roman" w:eastAsia="Times New Roman" w:hAnsi="Times New Roman" w:cs="Times New Roman"/>
                <w:sz w:val="24"/>
                <w:szCs w:val="28"/>
                <w:lang w:eastAsia="ru-RU"/>
              </w:rPr>
            </w:pPr>
          </w:p>
        </w:tc>
        <w:tc>
          <w:tcPr>
            <w:tcW w:w="198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7A5F88" w:rsidRPr="004865B3" w:rsidTr="009268EE">
        <w:tc>
          <w:tcPr>
            <w:tcW w:w="10060" w:type="dxa"/>
            <w:gridSpan w:val="3"/>
          </w:tcPr>
          <w:p w:rsidR="007A5F88" w:rsidRPr="004865B3" w:rsidRDefault="007A5F88"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7A5F88" w:rsidRPr="004865B3" w:rsidTr="009268EE">
        <w:tc>
          <w:tcPr>
            <w:tcW w:w="5240" w:type="dxa"/>
          </w:tcPr>
          <w:p w:rsidR="007A5F88" w:rsidRPr="004865B3" w:rsidRDefault="007A5F88"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7A5F88" w:rsidRPr="004865B3" w:rsidTr="009268EE">
        <w:tc>
          <w:tcPr>
            <w:tcW w:w="5240" w:type="dxa"/>
          </w:tcPr>
          <w:p w:rsidR="007A5F88" w:rsidRPr="004865B3" w:rsidRDefault="007A5F88"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7A5F88" w:rsidRPr="004865B3" w:rsidTr="009268EE">
        <w:tc>
          <w:tcPr>
            <w:tcW w:w="5240" w:type="dxa"/>
          </w:tcPr>
          <w:p w:rsidR="007A5F88" w:rsidRPr="004865B3" w:rsidRDefault="007A5F88"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7A5F88" w:rsidRPr="004865B3" w:rsidTr="009268EE">
        <w:tc>
          <w:tcPr>
            <w:tcW w:w="5240" w:type="dxa"/>
          </w:tcPr>
          <w:p w:rsidR="007A5F88" w:rsidRPr="004865B3" w:rsidRDefault="007A5F88"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площадей  и парков</w:t>
            </w:r>
          </w:p>
        </w:tc>
        <w:tc>
          <w:tcPr>
            <w:tcW w:w="198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7A5F88" w:rsidRPr="004865B3" w:rsidRDefault="007A5F88"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7A5F88" w:rsidRPr="004865B3" w:rsidRDefault="007A5F88" w:rsidP="007A5F88">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7A5F88" w:rsidRPr="004865B3" w:rsidRDefault="007A5F88" w:rsidP="007A5F88">
      <w:pPr>
        <w:spacing w:after="0" w:line="240" w:lineRule="auto"/>
        <w:ind w:firstLine="360"/>
        <w:jc w:val="both"/>
        <w:rPr>
          <w:rFonts w:ascii="Times New Roman" w:eastAsia="Times New Roman" w:hAnsi="Times New Roman" w:cs="Times New Roman"/>
          <w:sz w:val="24"/>
          <w:szCs w:val="28"/>
          <w:lang w:eastAsia="ru-RU"/>
        </w:rPr>
      </w:pP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7A5F88" w:rsidRPr="004865B3" w:rsidRDefault="007A5F88" w:rsidP="007A5F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7A5F88" w:rsidRPr="004865B3" w:rsidRDefault="007A5F88" w:rsidP="007A5F88">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7A5F88" w:rsidRPr="004865B3" w:rsidTr="009268EE">
        <w:trPr>
          <w:trHeight w:hRule="exact" w:val="840"/>
        </w:trPr>
        <w:tc>
          <w:tcPr>
            <w:tcW w:w="3941" w:type="dxa"/>
            <w:tcBorders>
              <w:top w:val="single" w:sz="4" w:space="0" w:color="auto"/>
              <w:left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7A5F88"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7A5F88" w:rsidRPr="004865B3" w:rsidRDefault="007A5F88"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7A5F88" w:rsidRPr="004865B3" w:rsidRDefault="007A5F88" w:rsidP="009268EE">
            <w:pPr>
              <w:spacing w:line="240" w:lineRule="auto"/>
              <w:rPr>
                <w:rFonts w:ascii="Times New Roman" w:eastAsia="Times New Roman" w:hAnsi="Times New Roman" w:cs="Times New Roman"/>
                <w:lang w:eastAsia="ru-RU"/>
              </w:rPr>
            </w:pPr>
          </w:p>
        </w:tc>
      </w:tr>
      <w:tr w:rsidR="007A5F88"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A5F88"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A5F88"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A5F88"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A5F88"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7A5F88"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7A5F88"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7A5F88"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7A5F88" w:rsidRPr="004865B3" w:rsidRDefault="007A5F88"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7A5F88" w:rsidRPr="004865B3" w:rsidRDefault="007A5F88"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7A5F88" w:rsidRPr="004865B3" w:rsidRDefault="007A5F88" w:rsidP="007A5F88">
      <w:pPr>
        <w:autoSpaceDE w:val="0"/>
        <w:autoSpaceDN w:val="0"/>
        <w:adjustRightInd w:val="0"/>
        <w:spacing w:after="0" w:line="240" w:lineRule="auto"/>
        <w:ind w:firstLine="708"/>
        <w:jc w:val="both"/>
        <w:rPr>
          <w:rFonts w:ascii="Times New Roman" w:eastAsia="Calibri" w:hAnsi="Times New Roman" w:cs="Times New Roman"/>
        </w:rPr>
      </w:pPr>
    </w:p>
    <w:p w:rsidR="007A5F88" w:rsidRPr="004865B3" w:rsidRDefault="007A5F88" w:rsidP="007A5F88">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7A5F88" w:rsidRPr="004865B3" w:rsidRDefault="001D461C" w:rsidP="007A5F88">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7A5F88" w:rsidRPr="004865B3" w:rsidRDefault="007A5F88" w:rsidP="007A5F88">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7A5F88" w:rsidRPr="004865B3" w:rsidRDefault="007A5F88" w:rsidP="007A5F88">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7A5F88" w:rsidRPr="004865B3" w:rsidRDefault="007A5F88" w:rsidP="007A5F88">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7A5F88" w:rsidRPr="004865B3" w:rsidRDefault="007A5F88" w:rsidP="007A5F88">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7A5F88" w:rsidRPr="004865B3" w:rsidRDefault="007A5F88" w:rsidP="007A5F88">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7A5F88" w:rsidRPr="004865B3" w:rsidRDefault="007A5F88" w:rsidP="007A5F88">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7A5F88" w:rsidRPr="004865B3" w:rsidRDefault="007A5F88" w:rsidP="007A5F88">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7A5F88" w:rsidRPr="004865B3" w:rsidRDefault="007A5F88" w:rsidP="007A5F88">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7A5F88" w:rsidRPr="004865B3" w:rsidRDefault="007A5F88" w:rsidP="007A5F88">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7A5F88" w:rsidRPr="004865B3" w:rsidRDefault="007A5F88" w:rsidP="007A5F88">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7A5F88" w:rsidRPr="004865B3" w:rsidRDefault="007A5F88" w:rsidP="007A5F88">
      <w:pPr>
        <w:spacing w:after="0" w:line="240" w:lineRule="auto"/>
        <w:ind w:firstLine="360"/>
        <w:jc w:val="both"/>
        <w:rPr>
          <w:rFonts w:ascii="Times New Roman" w:eastAsia="Times New Roman" w:hAnsi="Times New Roman" w:cs="Times New Roman"/>
          <w:sz w:val="24"/>
          <w:szCs w:val="28"/>
          <w:lang w:eastAsia="ru-RU"/>
        </w:rPr>
      </w:pPr>
    </w:p>
    <w:p w:rsidR="007A5F88" w:rsidRPr="004865B3" w:rsidRDefault="007A5F88" w:rsidP="007A5F88">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7A5F88" w:rsidRPr="004865B3" w:rsidRDefault="007A5F88" w:rsidP="007A5F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7A5F88" w:rsidRPr="004865B3" w:rsidRDefault="007A5F88" w:rsidP="007A5F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7A5F88" w:rsidRPr="004865B3" w:rsidRDefault="007A5F88" w:rsidP="007A5F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7A5F88" w:rsidRPr="004865B3" w:rsidRDefault="007A5F88" w:rsidP="007A5F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A5F88" w:rsidRPr="004865B3" w:rsidRDefault="007A5F88" w:rsidP="007A5F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7A5F88" w:rsidRPr="004865B3" w:rsidTr="009268EE">
        <w:trPr>
          <w:trHeight w:val="15"/>
          <w:jc w:val="center"/>
        </w:trPr>
        <w:tc>
          <w:tcPr>
            <w:tcW w:w="6346" w:type="dxa"/>
          </w:tcPr>
          <w:p w:rsidR="007A5F88" w:rsidRPr="004865B3" w:rsidRDefault="007A5F88"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7A5F88" w:rsidRPr="004865B3" w:rsidRDefault="007A5F88"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7A5F88"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7A5F88"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7A5F88" w:rsidRPr="004865B3" w:rsidRDefault="007A5F88"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7A5F88"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7A5F88" w:rsidRPr="004865B3" w:rsidRDefault="007A5F88"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7A5F88"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7A5F88"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7A5F88"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7A5F88"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7A5F88" w:rsidRPr="004865B3" w:rsidRDefault="007A5F88" w:rsidP="009268EE">
            <w:pPr>
              <w:spacing w:line="240" w:lineRule="auto"/>
              <w:rPr>
                <w:rFonts w:ascii="Times New Roman" w:eastAsia="Times New Roman" w:hAnsi="Times New Roman" w:cs="Times New Roman"/>
                <w:sz w:val="24"/>
                <w:szCs w:val="24"/>
                <w:lang w:eastAsia="ru-RU"/>
              </w:rPr>
            </w:pPr>
          </w:p>
        </w:tc>
      </w:tr>
      <w:tr w:rsidR="007A5F88"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7A5F88"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7A5F88"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7A5F88"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7A5F88" w:rsidRPr="004865B3" w:rsidRDefault="007A5F88"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7A5F88" w:rsidRPr="004865B3" w:rsidRDefault="007A5F88"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7A5F88" w:rsidRPr="004865B3" w:rsidRDefault="007A5F88"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7A5F88" w:rsidRPr="004865B3" w:rsidRDefault="007A5F88"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7A5F88" w:rsidRPr="004865B3" w:rsidRDefault="007A5F88" w:rsidP="007A5F8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7A5F88" w:rsidRPr="004865B3" w:rsidRDefault="007A5F88" w:rsidP="007A5F8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7A5F88"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7A5F88" w:rsidRPr="004865B3" w:rsidTr="009268EE">
        <w:tc>
          <w:tcPr>
            <w:tcW w:w="3063" w:type="dxa"/>
            <w:vMerge/>
            <w:tcBorders>
              <w:left w:val="single" w:sz="6" w:space="0" w:color="000000"/>
              <w:bottom w:val="single" w:sz="6" w:space="0" w:color="000000"/>
              <w:right w:val="single" w:sz="6" w:space="0" w:color="000000"/>
            </w:tcBorders>
          </w:tcPr>
          <w:p w:rsidR="007A5F88" w:rsidRPr="004865B3" w:rsidRDefault="007A5F88"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7A5F88"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7A5F88"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7A5F88"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7A5F88"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A5F88" w:rsidRPr="004865B3" w:rsidRDefault="007A5F88"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7A5F88" w:rsidRPr="004865B3" w:rsidTr="009268EE">
        <w:tc>
          <w:tcPr>
            <w:tcW w:w="9991" w:type="dxa"/>
            <w:gridSpan w:val="4"/>
            <w:tcBorders>
              <w:top w:val="single" w:sz="6" w:space="0" w:color="000000"/>
            </w:tcBorders>
            <w:tcMar>
              <w:top w:w="0" w:type="dxa"/>
              <w:left w:w="74" w:type="dxa"/>
              <w:bottom w:w="0" w:type="dxa"/>
              <w:right w:w="74" w:type="dxa"/>
            </w:tcMar>
          </w:tcPr>
          <w:p w:rsidR="007A5F88" w:rsidRPr="004865B3" w:rsidRDefault="007A5F88"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7A5F88" w:rsidRPr="004865B3" w:rsidRDefault="007A5F88"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7A5F88" w:rsidRDefault="007A5F88"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A5F88" w:rsidRPr="00222509" w:rsidRDefault="007A5F88"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7A5F88" w:rsidRPr="00222509" w:rsidRDefault="001D461C"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7A5F88" w:rsidRPr="00222509">
              <w:rPr>
                <w:rFonts w:ascii="Cambria Math" w:eastAsia="Cambria Math" w:hAnsi="Cambria Math"/>
                <w:sz w:val="20"/>
                <w:szCs w:val="20"/>
              </w:rPr>
              <w:t xml:space="preserve">, </w:t>
            </w:r>
            <w:r w:rsidR="007A5F88" w:rsidRPr="00222509">
              <w:rPr>
                <w:rFonts w:ascii="Times New Roman" w:eastAsia="Cambria Math" w:hAnsi="Times New Roman" w:cs="Times New Roman"/>
                <w:sz w:val="20"/>
                <w:szCs w:val="20"/>
              </w:rPr>
              <w:t>где</w:t>
            </w:r>
          </w:p>
          <w:p w:rsidR="007A5F88" w:rsidRPr="00222509" w:rsidRDefault="007A5F88"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7A5F88" w:rsidRPr="00222509" w:rsidRDefault="007A5F88"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7A5F88" w:rsidRPr="00222509" w:rsidRDefault="007A5F88"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7A5F88" w:rsidRPr="00222509" w:rsidRDefault="007A5F88"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7A5F88" w:rsidRPr="00222509" w:rsidRDefault="007A5F88"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7A5F88" w:rsidRPr="004865B3" w:rsidRDefault="007A5F88"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7A5F88" w:rsidRPr="004865B3" w:rsidRDefault="007A5F88" w:rsidP="007A5F88">
      <w:pPr>
        <w:autoSpaceDE w:val="0"/>
        <w:autoSpaceDN w:val="0"/>
        <w:adjustRightInd w:val="0"/>
        <w:spacing w:after="0" w:line="240" w:lineRule="auto"/>
        <w:jc w:val="both"/>
        <w:rPr>
          <w:rFonts w:ascii="Times New Roman" w:eastAsia="Calibri" w:hAnsi="Times New Roman" w:cs="Times New Roman"/>
          <w:sz w:val="24"/>
          <w:szCs w:val="24"/>
        </w:rPr>
      </w:pPr>
    </w:p>
    <w:p w:rsidR="007A5F88" w:rsidRPr="004865B3" w:rsidRDefault="007A5F88" w:rsidP="007A5F88">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7A5F88" w:rsidRPr="004865B3" w:rsidRDefault="007A5F88" w:rsidP="007A5F88">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7A5F88"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изме</w:t>
            </w:r>
            <w:proofErr w:type="spell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7A5F88" w:rsidRPr="004865B3" w:rsidRDefault="007A5F88"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7A5F88" w:rsidRPr="004865B3" w:rsidRDefault="007A5F88"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7A5F88" w:rsidRPr="004865B3" w:rsidRDefault="007A5F88"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5F88" w:rsidRPr="00440DFA" w:rsidRDefault="007A5F88"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7A5F88" w:rsidRPr="00440DFA" w:rsidRDefault="007A5F88"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A5F88" w:rsidRPr="00440DFA" w:rsidRDefault="007A5F88"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A5F88" w:rsidRPr="00440DFA" w:rsidRDefault="007A5F88"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7A5F88" w:rsidRPr="00440DFA" w:rsidRDefault="007A5F88"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7A5F88" w:rsidRPr="00440DFA" w:rsidRDefault="007A5F88"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сельские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7A5F88" w:rsidRPr="004865B3" w:rsidRDefault="007A5F88"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7A5F88" w:rsidRPr="004865B3" w:rsidRDefault="007A5F88"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7A5F88" w:rsidRPr="004865B3" w:rsidRDefault="007A5F88"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7A5F88" w:rsidRPr="004865B3" w:rsidRDefault="007A5F88"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7A5F88"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7A5F88" w:rsidRPr="004865B3" w:rsidRDefault="007A5F88"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посеще-ние</w:t>
            </w:r>
            <w:proofErr w:type="spellEnd"/>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7A5F88" w:rsidRPr="004865B3" w:rsidTr="009268EE">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7A5F88"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 площади на 1</w:t>
            </w:r>
          </w:p>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7A5F88"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7A5F88"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7A5F88"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7A5F88"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r w:rsidRPr="004865B3">
              <w:rPr>
                <w:rFonts w:ascii="Times New Roman" w:eastAsia="Times New Roman" w:hAnsi="Times New Roman" w:cs="Times New Roman"/>
                <w:sz w:val="20"/>
                <w:szCs w:val="20"/>
                <w:lang w:eastAsia="ru-RU"/>
              </w:rPr>
              <w:t>. залы</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7A5F88"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7A5F88" w:rsidRPr="004865B3" w:rsidRDefault="007A5F88"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A5F88" w:rsidRPr="004865B3" w:rsidRDefault="007A5F88"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061" r:id="rId13"/>
              </w:objec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firstLine="227"/>
              <w:jc w:val="both"/>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062" r:id="rId15"/>
              </w:objec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063" r:id="rId17"/>
              </w:objec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 xml:space="preserve">тыс. </w:t>
            </w:r>
            <w:proofErr w:type="spellStart"/>
            <w:r w:rsidRPr="004865B3">
              <w:rPr>
                <w:rFonts w:ascii="Times New Roman" w:eastAsia="Times New Roman" w:hAnsi="Times New Roman" w:cs="Times New Roman"/>
                <w:sz w:val="20"/>
                <w:szCs w:val="20"/>
                <w:lang w:eastAsia="ru-RU"/>
              </w:rPr>
              <w:t>кв.метров</w:t>
            </w:r>
            <w:proofErr w:type="spellEnd"/>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7A5F88"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 </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зеркала воды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7A5F88" w:rsidRPr="004865B3" w:rsidRDefault="007A5F88"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p>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7A5F88" w:rsidRPr="004865B3" w:rsidRDefault="007A5F88"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7A5F88" w:rsidRPr="004865B3" w:rsidRDefault="007A5F88"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7A5F88" w:rsidRPr="004865B3" w:rsidRDefault="007A5F88"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7A5F88" w:rsidRPr="004865B3" w:rsidRDefault="007A5F88"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pacing w:val="-4"/>
                <w:sz w:val="20"/>
                <w:szCs w:val="20"/>
                <w:lang w:eastAsia="ru-RU"/>
              </w:rPr>
              <w:t xml:space="preserve"> торговой площади:</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в</w:t>
            </w:r>
            <w:r w:rsidRPr="004865B3">
              <w:rPr>
                <w:rFonts w:ascii="Times New Roman" w:eastAsia="Times New Roman" w:hAnsi="Times New Roman" w:cs="Times New Roman"/>
                <w:spacing w:val="-4"/>
                <w:sz w:val="20"/>
                <w:szCs w:val="20"/>
                <w:lang w:eastAsia="ru-RU"/>
              </w:rPr>
              <w:t xml:space="preserve"> торговой площади;</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7A5F88" w:rsidRPr="004865B3" w:rsidRDefault="007A5F88"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7A5F88" w:rsidRPr="004865B3" w:rsidRDefault="007A5F88"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7A5F88" w:rsidRPr="004865B3" w:rsidRDefault="007A5F88"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На территории садоводческих и дачных объединений продовольственные магазины следует предусматривать из расчета 80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 на 1000 чел.</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Для розничных рынков 1 торговое место принимается в размере 6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прод</w:t>
            </w:r>
            <w:proofErr w:type="spellEnd"/>
            <w:r w:rsidRPr="004865B3">
              <w:rPr>
                <w:rFonts w:ascii="Times New Roman" w:eastAsia="Times New Roman" w:hAnsi="Times New Roman" w:cs="Times New Roman"/>
                <w:sz w:val="20"/>
                <w:szCs w:val="20"/>
                <w:lang w:eastAsia="ru-RU"/>
              </w:rPr>
              <w:t>. товаров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 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57" w:right="-57"/>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xml:space="preserve">.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7A5F88" w:rsidRPr="004865B3" w:rsidRDefault="007A5F88"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7A5F88" w:rsidRPr="004865B3" w:rsidRDefault="007A5F88"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7A5F88" w:rsidRPr="004865B3" w:rsidRDefault="007A5F88"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7A5F88" w:rsidRPr="004865B3" w:rsidRDefault="007A5F88"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7A5F88"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Кладбище </w:t>
            </w:r>
            <w:proofErr w:type="spellStart"/>
            <w:r w:rsidRPr="004865B3">
              <w:rPr>
                <w:rFonts w:ascii="Times New Roman" w:eastAsia="Times New Roman" w:hAnsi="Times New Roman" w:cs="Times New Roman"/>
                <w:sz w:val="20"/>
                <w:szCs w:val="20"/>
                <w:lang w:eastAsia="ru-RU"/>
              </w:rPr>
              <w:t>урновых</w:t>
            </w:r>
            <w:proofErr w:type="spellEnd"/>
            <w:r w:rsidRPr="004865B3">
              <w:rPr>
                <w:rFonts w:ascii="Times New Roman" w:eastAsia="Times New Roman" w:hAnsi="Times New Roman" w:cs="Times New Roman"/>
                <w:sz w:val="20"/>
                <w:szCs w:val="20"/>
                <w:lang w:eastAsia="ru-RU"/>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7A5F88"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7A5F88"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p>
        </w:tc>
      </w:tr>
      <w:tr w:rsidR="007A5F88"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7A5F88"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120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250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7A5F88"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7A5F88" w:rsidRPr="004865B3" w:rsidRDefault="007A5F88"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7A5F88" w:rsidRPr="004865B3" w:rsidRDefault="007A5F88"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7A5F88" w:rsidRPr="004865B3" w:rsidRDefault="007A5F88"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7A5F88"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7A5F88"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7A5F88" w:rsidRPr="004865B3" w:rsidRDefault="007A5F88"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7A5F88" w:rsidRPr="004865B3" w:rsidRDefault="007A5F88"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7A5F88" w:rsidRDefault="007A5F88" w:rsidP="007A5F88">
      <w:pPr>
        <w:spacing w:after="0" w:line="240" w:lineRule="auto"/>
        <w:ind w:left="709"/>
        <w:contextualSpacing/>
        <w:rPr>
          <w:rFonts w:ascii="Times New Roman" w:eastAsia="Times New Roman" w:hAnsi="Times New Roman" w:cs="Times New Roman"/>
          <w:b/>
          <w:sz w:val="24"/>
          <w:szCs w:val="28"/>
          <w:lang w:eastAsia="ru-RU"/>
        </w:rPr>
      </w:pPr>
    </w:p>
    <w:p w:rsidR="007A5F88" w:rsidRDefault="007A5F88" w:rsidP="007A5F88">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7A5F88"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0E7650"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7A5F88" w:rsidRPr="000E7650"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p>
    <w:p w:rsidR="007A5F88" w:rsidRPr="000E7650"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7A5F88" w:rsidRDefault="007A5F88" w:rsidP="007A5F88">
      <w:pPr>
        <w:widowControl w:val="0"/>
        <w:spacing w:after="0" w:line="240" w:lineRule="auto"/>
        <w:ind w:firstLine="709"/>
        <w:jc w:val="both"/>
        <w:rPr>
          <w:rFonts w:ascii="Times New Roman" w:eastAsia="Times New Roman" w:hAnsi="Times New Roman" w:cs="Times New Roman"/>
          <w:sz w:val="24"/>
          <w:szCs w:val="24"/>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7A5F88" w:rsidRPr="00440DFA" w:rsidRDefault="007A5F88" w:rsidP="007A5F8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7A5F88" w:rsidRPr="00440DFA" w:rsidRDefault="007A5F88" w:rsidP="007A5F8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7A5F88"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7A5F88" w:rsidRPr="00440DFA" w:rsidRDefault="007A5F88" w:rsidP="007A5F88">
      <w:pPr>
        <w:spacing w:after="0" w:line="240" w:lineRule="auto"/>
        <w:ind w:firstLine="709"/>
        <w:contextualSpacing/>
        <w:jc w:val="both"/>
        <w:rPr>
          <w:rFonts w:ascii="Times New Roman" w:eastAsia="Times New Roman" w:hAnsi="Times New Roman" w:cs="Times New Roman"/>
          <w:b/>
          <w:sz w:val="24"/>
          <w:szCs w:val="28"/>
          <w:lang w:eastAsia="ru-RU"/>
        </w:rPr>
      </w:pPr>
    </w:p>
    <w:p w:rsidR="007A5F88"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4"/>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5F88" w:rsidRPr="00440DFA" w:rsidRDefault="007A5F88" w:rsidP="007A5F88">
      <w:pPr>
        <w:spacing w:after="0" w:line="240" w:lineRule="auto"/>
        <w:ind w:firstLine="709"/>
        <w:contextualSpacing/>
        <w:jc w:val="both"/>
        <w:rPr>
          <w:rFonts w:ascii="Times New Roman" w:eastAsia="Times New Roman" w:hAnsi="Times New Roman" w:cs="Times New Roman"/>
          <w:b/>
          <w:sz w:val="24"/>
          <w:szCs w:val="24"/>
          <w:lang w:eastAsia="ru-RU"/>
        </w:rPr>
      </w:pPr>
    </w:p>
    <w:p w:rsidR="007A5F88" w:rsidRPr="00440DFA" w:rsidRDefault="007A5F88" w:rsidP="007A5F88">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7A5F88" w:rsidRPr="00440DFA" w:rsidRDefault="007A5F88" w:rsidP="007A5F88">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7A5F88" w:rsidRPr="00440DFA" w:rsidRDefault="007A5F88" w:rsidP="007A5F88">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7A5F88" w:rsidRPr="00440DFA" w:rsidRDefault="007A5F88" w:rsidP="007A5F88">
      <w:pPr>
        <w:spacing w:after="0" w:line="240" w:lineRule="auto"/>
        <w:ind w:firstLine="709"/>
        <w:contextualSpacing/>
        <w:jc w:val="both"/>
        <w:rPr>
          <w:rFonts w:ascii="Times New Roman" w:eastAsia="Times New Roman" w:hAnsi="Times New Roman" w:cs="Times New Roman"/>
          <w:b/>
          <w:sz w:val="24"/>
          <w:szCs w:val="28"/>
          <w:lang w:eastAsia="ru-RU"/>
        </w:rPr>
      </w:pPr>
    </w:p>
    <w:p w:rsidR="007A5F88" w:rsidRPr="00440DFA" w:rsidRDefault="007A5F88" w:rsidP="007A5F88">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7A5F88" w:rsidRPr="00440DFA" w:rsidRDefault="007A5F88" w:rsidP="007A5F88">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7A5F88" w:rsidRPr="00440DFA" w:rsidRDefault="007A5F88" w:rsidP="007A5F88">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7A5F88" w:rsidRPr="00440DFA" w:rsidRDefault="007A5F88" w:rsidP="007A5F88">
      <w:pPr>
        <w:spacing w:after="0" w:line="240" w:lineRule="auto"/>
        <w:ind w:firstLine="709"/>
        <w:jc w:val="both"/>
        <w:rPr>
          <w:rFonts w:ascii="Times New Roman" w:eastAsia="Times New Roman" w:hAnsi="Times New Roman" w:cs="Times New Roman"/>
          <w:b/>
          <w:sz w:val="24"/>
          <w:szCs w:val="24"/>
          <w:lang w:eastAsia="ru-RU"/>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7A5F88" w:rsidRPr="00440DFA" w:rsidRDefault="007A5F88" w:rsidP="007A5F88">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4"/>
          <w:lang w:eastAsia="ru-RU"/>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p>
    <w:p w:rsidR="007A5F88" w:rsidRPr="00440DFA" w:rsidRDefault="007A5F88" w:rsidP="007A5F88">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7A5F88" w:rsidRPr="00440DFA" w:rsidRDefault="007A5F88" w:rsidP="007A5F88">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7A5F88" w:rsidRPr="00440DFA" w:rsidRDefault="007A5F88" w:rsidP="007A5F88">
      <w:pPr>
        <w:spacing w:after="0" w:line="240" w:lineRule="auto"/>
        <w:ind w:firstLine="709"/>
        <w:contextualSpacing/>
        <w:jc w:val="both"/>
        <w:rPr>
          <w:rFonts w:ascii="Times New Roman" w:eastAsia="Times New Roman" w:hAnsi="Times New Roman" w:cs="Times New Roman"/>
          <w:sz w:val="24"/>
          <w:szCs w:val="28"/>
          <w:lang w:eastAsia="ru-RU"/>
        </w:rPr>
      </w:pP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7A5F88" w:rsidRPr="00440DFA" w:rsidRDefault="007A5F88" w:rsidP="007A5F88">
      <w:pPr>
        <w:spacing w:after="0" w:line="240" w:lineRule="auto"/>
        <w:ind w:firstLine="709"/>
        <w:contextualSpacing/>
        <w:jc w:val="center"/>
        <w:rPr>
          <w:rFonts w:ascii="Times New Roman" w:eastAsia="Times New Roman" w:hAnsi="Times New Roman" w:cs="Times New Roman"/>
          <w:b/>
          <w:sz w:val="24"/>
          <w:szCs w:val="28"/>
          <w:lang w:eastAsia="ru-RU"/>
        </w:rPr>
      </w:pPr>
    </w:p>
    <w:p w:rsidR="007A5F88" w:rsidRPr="00440DFA" w:rsidRDefault="007A5F88" w:rsidP="007A5F88">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7A5F88" w:rsidRPr="000E7650" w:rsidRDefault="007A5F88" w:rsidP="007A5F88">
      <w:pPr>
        <w:spacing w:after="0" w:line="240" w:lineRule="auto"/>
        <w:ind w:firstLine="709"/>
        <w:jc w:val="both"/>
        <w:rPr>
          <w:rFonts w:ascii="Times New Roman" w:eastAsia="Times New Roman" w:hAnsi="Times New Roman" w:cs="Times New Roman"/>
          <w:sz w:val="24"/>
          <w:szCs w:val="28"/>
          <w:lang w:eastAsia="ru-RU"/>
        </w:rPr>
      </w:pPr>
    </w:p>
    <w:p w:rsidR="007A5F88" w:rsidRPr="00440DFA" w:rsidRDefault="007A5F88" w:rsidP="007A5F88">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7A5F88" w:rsidRDefault="007A5F88" w:rsidP="007A5F88">
      <w:pPr>
        <w:spacing w:after="0" w:line="240" w:lineRule="auto"/>
        <w:ind w:firstLine="709"/>
        <w:jc w:val="both"/>
        <w:rPr>
          <w:rFonts w:ascii="Times New Roman" w:eastAsia="Times New Roman" w:hAnsi="Times New Roman" w:cs="Times New Roman"/>
          <w:sz w:val="24"/>
          <w:szCs w:val="28"/>
          <w:lang w:eastAsia="ru-RU"/>
        </w:rPr>
      </w:pP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7A5F88" w:rsidRPr="00440DFA" w:rsidRDefault="007A5F88" w:rsidP="007A5F88">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A5F88" w:rsidRPr="004865B3" w:rsidRDefault="007A5F88" w:rsidP="007A5F88">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7A5F88">
      <w:pPr>
        <w:widowControl w:val="0"/>
        <w:autoSpaceDE w:val="0"/>
        <w:autoSpaceDN w:val="0"/>
        <w:adjustRightInd w:val="0"/>
        <w:spacing w:after="0" w:line="240" w:lineRule="auto"/>
        <w:ind w:firstLine="709"/>
        <w:jc w:val="both"/>
      </w:pPr>
    </w:p>
    <w:sectPr w:rsidR="00543DD1" w:rsidSect="00582D32">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A5" w:rsidRDefault="009574A5" w:rsidP="009574A5">
      <w:pPr>
        <w:spacing w:after="0" w:line="240" w:lineRule="auto"/>
      </w:pPr>
      <w:r>
        <w:separator/>
      </w:r>
    </w:p>
  </w:endnote>
  <w:endnote w:type="continuationSeparator" w:id="0">
    <w:p w:rsidR="009574A5" w:rsidRDefault="009574A5" w:rsidP="0095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A5" w:rsidRDefault="009574A5" w:rsidP="009574A5">
      <w:pPr>
        <w:spacing w:after="0" w:line="240" w:lineRule="auto"/>
      </w:pPr>
      <w:r>
        <w:separator/>
      </w:r>
    </w:p>
  </w:footnote>
  <w:footnote w:type="continuationSeparator" w:id="0">
    <w:p w:rsidR="009574A5" w:rsidRDefault="009574A5" w:rsidP="0095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59945"/>
      <w:docPartObj>
        <w:docPartGallery w:val="Page Numbers (Top of Page)"/>
        <w:docPartUnique/>
      </w:docPartObj>
    </w:sdtPr>
    <w:sdtEndPr/>
    <w:sdtContent>
      <w:p w:rsidR="009574A5" w:rsidRDefault="009574A5">
        <w:pPr>
          <w:pStyle w:val="a9"/>
          <w:jc w:val="center"/>
        </w:pPr>
        <w:r>
          <w:fldChar w:fldCharType="begin"/>
        </w:r>
        <w:r>
          <w:instrText>PAGE   \* MERGEFORMAT</w:instrText>
        </w:r>
        <w:r>
          <w:fldChar w:fldCharType="separate"/>
        </w:r>
        <w:r w:rsidR="001D461C">
          <w:rPr>
            <w:noProof/>
          </w:rPr>
          <w:t>21</w:t>
        </w:r>
        <w:r>
          <w:fldChar w:fldCharType="end"/>
        </w:r>
      </w:p>
    </w:sdtContent>
  </w:sdt>
  <w:p w:rsidR="009574A5" w:rsidRDefault="009574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46"/>
    <w:rsid w:val="001A5A1D"/>
    <w:rsid w:val="001D461C"/>
    <w:rsid w:val="002D2F7D"/>
    <w:rsid w:val="00543DD1"/>
    <w:rsid w:val="00582D32"/>
    <w:rsid w:val="006A71EE"/>
    <w:rsid w:val="007A5F88"/>
    <w:rsid w:val="008F7D60"/>
    <w:rsid w:val="009574A5"/>
    <w:rsid w:val="00DD5F46"/>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4CC89D61-00B5-48CA-83B3-11DBE69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2D32"/>
    <w:pPr>
      <w:spacing w:after="200" w:line="276" w:lineRule="auto"/>
      <w:ind w:left="0" w:right="0"/>
    </w:pPr>
  </w:style>
  <w:style w:type="paragraph" w:styleId="1">
    <w:name w:val="heading 1"/>
    <w:basedOn w:val="a0"/>
    <w:next w:val="a0"/>
    <w:link w:val="10"/>
    <w:qFormat/>
    <w:rsid w:val="00582D32"/>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82D32"/>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82D32"/>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582D32"/>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82D32"/>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582D32"/>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582D32"/>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582D32"/>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582D32"/>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2D3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582D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582D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582D32"/>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582D32"/>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582D32"/>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582D32"/>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582D3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582D32"/>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582D32"/>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582D32"/>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582D32"/>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82D32"/>
  </w:style>
  <w:style w:type="character" w:styleId="a4">
    <w:name w:val="Hyperlink"/>
    <w:basedOn w:val="a1"/>
    <w:unhideWhenUsed/>
    <w:rsid w:val="00582D32"/>
    <w:rPr>
      <w:color w:val="0000FF"/>
      <w:u w:val="single"/>
    </w:rPr>
  </w:style>
  <w:style w:type="paragraph" w:styleId="a5">
    <w:name w:val="List Paragraph"/>
    <w:basedOn w:val="a0"/>
    <w:link w:val="a6"/>
    <w:uiPriority w:val="34"/>
    <w:qFormat/>
    <w:rsid w:val="00582D3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582D3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82D32"/>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582D32"/>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582D32"/>
  </w:style>
  <w:style w:type="paragraph" w:styleId="ab">
    <w:name w:val="footer"/>
    <w:basedOn w:val="a0"/>
    <w:link w:val="ac"/>
    <w:uiPriority w:val="99"/>
    <w:unhideWhenUsed/>
    <w:rsid w:val="00582D3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82D32"/>
  </w:style>
  <w:style w:type="paragraph" w:styleId="ad">
    <w:name w:val="No Spacing"/>
    <w:link w:val="ae"/>
    <w:uiPriority w:val="1"/>
    <w:qFormat/>
    <w:rsid w:val="00582D32"/>
    <w:pPr>
      <w:spacing w:after="0" w:line="240" w:lineRule="auto"/>
      <w:ind w:left="0" w:right="0"/>
    </w:pPr>
    <w:rPr>
      <w:rFonts w:eastAsiaTheme="minorEastAsia"/>
      <w:lang w:eastAsia="ru-RU"/>
    </w:rPr>
  </w:style>
  <w:style w:type="table" w:styleId="af">
    <w:name w:val="Table Grid"/>
    <w:basedOn w:val="a2"/>
    <w:uiPriority w:val="39"/>
    <w:rsid w:val="00582D3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82D32"/>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582D32"/>
    <w:rPr>
      <w:rFonts w:ascii="Calibri" w:eastAsia="Times New Roman" w:hAnsi="Calibri" w:cs="Calibri"/>
      <w:szCs w:val="20"/>
      <w:lang w:eastAsia="ru-RU"/>
    </w:rPr>
  </w:style>
  <w:style w:type="numbering" w:customStyle="1" w:styleId="11">
    <w:name w:val="Нет списка1"/>
    <w:next w:val="a3"/>
    <w:uiPriority w:val="99"/>
    <w:semiHidden/>
    <w:unhideWhenUsed/>
    <w:rsid w:val="00582D32"/>
  </w:style>
  <w:style w:type="character" w:customStyle="1" w:styleId="ae">
    <w:name w:val="Без интервала Знак"/>
    <w:link w:val="ad"/>
    <w:uiPriority w:val="1"/>
    <w:rsid w:val="00582D32"/>
    <w:rPr>
      <w:rFonts w:eastAsiaTheme="minorEastAsia"/>
      <w:lang w:eastAsia="ru-RU"/>
    </w:rPr>
  </w:style>
  <w:style w:type="numbering" w:customStyle="1" w:styleId="110">
    <w:name w:val="Нет списка11"/>
    <w:next w:val="a3"/>
    <w:uiPriority w:val="99"/>
    <w:semiHidden/>
    <w:unhideWhenUsed/>
    <w:rsid w:val="00582D32"/>
  </w:style>
  <w:style w:type="paragraph" w:customStyle="1" w:styleId="ConsPlusCell">
    <w:name w:val="ConsPlusCell"/>
    <w:uiPriority w:val="99"/>
    <w:rsid w:val="00582D32"/>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582D32"/>
  </w:style>
  <w:style w:type="numbering" w:customStyle="1" w:styleId="31">
    <w:name w:val="Нет списка3"/>
    <w:next w:val="a3"/>
    <w:uiPriority w:val="99"/>
    <w:semiHidden/>
    <w:unhideWhenUsed/>
    <w:rsid w:val="00582D32"/>
  </w:style>
  <w:style w:type="paragraph" w:styleId="af0">
    <w:name w:val="Normal (Web)"/>
    <w:basedOn w:val="a0"/>
    <w:rsid w:val="00582D32"/>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582D32"/>
  </w:style>
  <w:style w:type="paragraph" w:customStyle="1" w:styleId="af1">
    <w:name w:val="Знак"/>
    <w:basedOn w:val="a0"/>
    <w:rsid w:val="00582D32"/>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582D32"/>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2D32"/>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582D32"/>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582D32"/>
    <w:rPr>
      <w:rFonts w:ascii="Arial" w:eastAsia="Times New Roman" w:hAnsi="Arial" w:cs="Arial"/>
      <w:sz w:val="20"/>
      <w:szCs w:val="20"/>
      <w:lang w:eastAsia="ru-RU"/>
    </w:rPr>
  </w:style>
  <w:style w:type="character" w:styleId="af4">
    <w:name w:val="footnote reference"/>
    <w:semiHidden/>
    <w:rsid w:val="00582D32"/>
    <w:rPr>
      <w:vertAlign w:val="superscript"/>
    </w:rPr>
  </w:style>
  <w:style w:type="character" w:styleId="af5">
    <w:name w:val="page number"/>
    <w:rsid w:val="00582D32"/>
  </w:style>
  <w:style w:type="character" w:customStyle="1" w:styleId="grame">
    <w:name w:val="grame"/>
    <w:rsid w:val="00582D32"/>
  </w:style>
  <w:style w:type="paragraph" w:customStyle="1" w:styleId="Heading">
    <w:name w:val="Heading"/>
    <w:rsid w:val="00582D32"/>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582D3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582D32"/>
    <w:rPr>
      <w:rFonts w:ascii="Courier New" w:eastAsia="Times New Roman" w:hAnsi="Courier New" w:cs="Courier New"/>
      <w:sz w:val="20"/>
      <w:szCs w:val="20"/>
      <w:lang w:eastAsia="ru-RU"/>
    </w:rPr>
  </w:style>
  <w:style w:type="paragraph" w:customStyle="1" w:styleId="ConsNonformat">
    <w:name w:val="ConsNonformat"/>
    <w:link w:val="ConsNonformat0"/>
    <w:rsid w:val="00582D32"/>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582D32"/>
  </w:style>
  <w:style w:type="paragraph" w:styleId="HTML">
    <w:name w:val="HTML Preformatted"/>
    <w:basedOn w:val="a0"/>
    <w:link w:val="HTML0"/>
    <w:rsid w:val="0058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582D32"/>
    <w:rPr>
      <w:rFonts w:ascii="Courier New" w:eastAsia="Times New Roman" w:hAnsi="Courier New" w:cs="Courier New"/>
      <w:color w:val="000000"/>
      <w:sz w:val="20"/>
      <w:szCs w:val="20"/>
      <w:lang w:eastAsia="ru-RU"/>
    </w:rPr>
  </w:style>
  <w:style w:type="character" w:customStyle="1" w:styleId="f">
    <w:name w:val="f"/>
    <w:rsid w:val="00582D32"/>
  </w:style>
  <w:style w:type="paragraph" w:styleId="af8">
    <w:name w:val="Body Text Indent"/>
    <w:basedOn w:val="a0"/>
    <w:link w:val="af9"/>
    <w:rsid w:val="00582D32"/>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582D32"/>
    <w:rPr>
      <w:rFonts w:ascii="Arial" w:eastAsia="Times New Roman" w:hAnsi="Arial" w:cs="Arial"/>
      <w:sz w:val="24"/>
      <w:szCs w:val="24"/>
      <w:lang w:eastAsia="ru-RU"/>
    </w:rPr>
  </w:style>
  <w:style w:type="paragraph" w:customStyle="1" w:styleId="FR2">
    <w:name w:val="FR2"/>
    <w:rsid w:val="00582D32"/>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582D32"/>
    <w:rPr>
      <w:b/>
      <w:bCs/>
    </w:rPr>
  </w:style>
  <w:style w:type="paragraph" w:customStyle="1" w:styleId="text">
    <w:name w:val="text"/>
    <w:basedOn w:val="a0"/>
    <w:next w:val="a0"/>
    <w:rsid w:val="00582D32"/>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582D32"/>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582D32"/>
    <w:rPr>
      <w:rFonts w:ascii="Arial" w:eastAsia="Times New Roman" w:hAnsi="Arial" w:cs="Arial"/>
      <w:sz w:val="24"/>
      <w:szCs w:val="24"/>
      <w:lang w:eastAsia="ru-RU"/>
    </w:rPr>
  </w:style>
  <w:style w:type="paragraph" w:styleId="24">
    <w:name w:val="List 2"/>
    <w:basedOn w:val="a0"/>
    <w:rsid w:val="00582D32"/>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582D32"/>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582D32"/>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582D32"/>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582D32"/>
    <w:rPr>
      <w:rFonts w:ascii="Arial" w:eastAsia="Times New Roman" w:hAnsi="Arial" w:cs="Arial"/>
      <w:sz w:val="24"/>
      <w:szCs w:val="24"/>
      <w:lang w:eastAsia="ru-RU"/>
    </w:rPr>
  </w:style>
  <w:style w:type="paragraph" w:styleId="27">
    <w:name w:val="Body Text 2"/>
    <w:basedOn w:val="a0"/>
    <w:link w:val="28"/>
    <w:rsid w:val="00582D32"/>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582D32"/>
    <w:rPr>
      <w:rFonts w:ascii="Arial" w:eastAsia="Times New Roman" w:hAnsi="Arial" w:cs="Arial"/>
      <w:sz w:val="24"/>
      <w:szCs w:val="24"/>
      <w:lang w:eastAsia="ru-RU"/>
    </w:rPr>
  </w:style>
  <w:style w:type="character" w:customStyle="1" w:styleId="S1">
    <w:name w:val="S_Маркированный Знак1"/>
    <w:link w:val="S"/>
    <w:locked/>
    <w:rsid w:val="00582D32"/>
    <w:rPr>
      <w:sz w:val="24"/>
      <w:szCs w:val="24"/>
    </w:rPr>
  </w:style>
  <w:style w:type="paragraph" w:customStyle="1" w:styleId="S">
    <w:name w:val="S_Маркированный"/>
    <w:basedOn w:val="afd"/>
    <w:link w:val="S1"/>
    <w:autoRedefine/>
    <w:rsid w:val="00582D32"/>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582D32"/>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582D32"/>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582D32"/>
    <w:rPr>
      <w:rFonts w:ascii="Arial" w:eastAsia="Times New Roman" w:hAnsi="Arial" w:cs="Arial"/>
      <w:sz w:val="24"/>
      <w:szCs w:val="24"/>
      <w:lang w:eastAsia="ru-RU"/>
    </w:rPr>
  </w:style>
  <w:style w:type="paragraph" w:customStyle="1" w:styleId="S3">
    <w:name w:val="S_Таблица"/>
    <w:basedOn w:val="a0"/>
    <w:link w:val="S4"/>
    <w:autoRedefine/>
    <w:rsid w:val="00582D32"/>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582D32"/>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582D32"/>
    <w:rPr>
      <w:sz w:val="24"/>
      <w:szCs w:val="24"/>
    </w:rPr>
  </w:style>
  <w:style w:type="paragraph" w:customStyle="1" w:styleId="S6">
    <w:name w:val="S_Обычный в таблице"/>
    <w:basedOn w:val="a0"/>
    <w:link w:val="S5"/>
    <w:rsid w:val="00582D32"/>
    <w:pPr>
      <w:spacing w:after="0" w:line="240" w:lineRule="auto"/>
      <w:jc w:val="center"/>
    </w:pPr>
    <w:rPr>
      <w:sz w:val="24"/>
      <w:szCs w:val="24"/>
    </w:rPr>
  </w:style>
  <w:style w:type="paragraph" w:customStyle="1" w:styleId="afe">
    <w:name w:val="Примечание"/>
    <w:basedOn w:val="a0"/>
    <w:rsid w:val="00582D3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582D32"/>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582D32"/>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582D32"/>
    <w:rPr>
      <w:rFonts w:ascii="Arial" w:eastAsia="Times New Roman" w:hAnsi="Arial" w:cs="Arial"/>
      <w:sz w:val="20"/>
      <w:szCs w:val="20"/>
      <w:lang w:eastAsia="ru-RU"/>
    </w:rPr>
  </w:style>
  <w:style w:type="paragraph" w:customStyle="1" w:styleId="aff1">
    <w:name w:val="приложения рнгп"/>
    <w:basedOn w:val="20"/>
    <w:autoRedefine/>
    <w:rsid w:val="00582D32"/>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582D32"/>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582D32"/>
    <w:rPr>
      <w:rFonts w:ascii="Arial" w:eastAsia="Times New Roman" w:hAnsi="Arial" w:cs="Arial"/>
      <w:sz w:val="16"/>
      <w:szCs w:val="16"/>
      <w:lang w:eastAsia="ru-RU"/>
    </w:rPr>
  </w:style>
  <w:style w:type="paragraph" w:styleId="29">
    <w:name w:val="List Continue 2"/>
    <w:basedOn w:val="a0"/>
    <w:rsid w:val="00582D32"/>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582D32"/>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582D32"/>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582D32"/>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582D32"/>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582D32"/>
    <w:rPr>
      <w:rFonts w:ascii="Times New Roman" w:hAnsi="Times New Roman" w:cs="Times New Roman"/>
      <w:sz w:val="26"/>
      <w:szCs w:val="26"/>
    </w:rPr>
  </w:style>
  <w:style w:type="paragraph" w:customStyle="1" w:styleId="36">
    <w:name w:val="Знак3"/>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582D32"/>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582D32"/>
  </w:style>
  <w:style w:type="paragraph" w:customStyle="1" w:styleId="100">
    <w:name w:val="Знак10"/>
    <w:basedOn w:val="a0"/>
    <w:rsid w:val="00582D32"/>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582D32"/>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582D32"/>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582D32"/>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582D32"/>
    <w:pPr>
      <w:spacing w:after="0" w:line="240" w:lineRule="auto"/>
    </w:pPr>
    <w:rPr>
      <w:rFonts w:ascii="Verdana" w:eastAsia="Times New Roman" w:hAnsi="Verdana" w:cs="Verdana"/>
      <w:sz w:val="20"/>
      <w:szCs w:val="20"/>
      <w:lang w:val="en-US" w:eastAsia="ru-RU"/>
    </w:rPr>
  </w:style>
  <w:style w:type="character" w:customStyle="1" w:styleId="text11">
    <w:name w:val="text11"/>
    <w:rsid w:val="00582D32"/>
    <w:rPr>
      <w:b/>
      <w:bCs/>
      <w:color w:val="333333"/>
      <w:sz w:val="20"/>
      <w:szCs w:val="20"/>
      <w:u w:val="single"/>
    </w:rPr>
  </w:style>
  <w:style w:type="paragraph" w:customStyle="1" w:styleId="16">
    <w:name w:val="Обычный1"/>
    <w:rsid w:val="00582D32"/>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582D32"/>
  </w:style>
  <w:style w:type="character" w:customStyle="1" w:styleId="context">
    <w:name w:val="context"/>
    <w:rsid w:val="00582D32"/>
  </w:style>
  <w:style w:type="character" w:customStyle="1" w:styleId="contextcurrent">
    <w:name w:val="context_current"/>
    <w:rsid w:val="00582D32"/>
  </w:style>
  <w:style w:type="paragraph" w:customStyle="1" w:styleId="11Char">
    <w:name w:val="Знак1 Знак Знак Знак Знак Знак Знак Знак Знак1 Char"/>
    <w:basedOn w:val="a0"/>
    <w:rsid w:val="00582D32"/>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582D32"/>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582D32"/>
    <w:rPr>
      <w:rFonts w:ascii="Courier New" w:hAnsi="Courier New" w:cs="Courier New"/>
    </w:rPr>
  </w:style>
  <w:style w:type="paragraph" w:customStyle="1" w:styleId="17">
    <w:name w:val="Знак Знак1 Знак"/>
    <w:basedOn w:val="a0"/>
    <w:rsid w:val="00582D32"/>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582D32"/>
  </w:style>
  <w:style w:type="character" w:customStyle="1" w:styleId="visited">
    <w:name w:val="visited"/>
    <w:rsid w:val="00582D32"/>
  </w:style>
  <w:style w:type="paragraph" w:customStyle="1" w:styleId="formattexttopleveltext">
    <w:name w:val="formattext topleveltext"/>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582D32"/>
    <w:rPr>
      <w:rFonts w:ascii="Times New Roman" w:hAnsi="Times New Roman" w:cs="Times New Roman"/>
      <w:sz w:val="24"/>
      <w:szCs w:val="24"/>
    </w:rPr>
  </w:style>
  <w:style w:type="paragraph" w:customStyle="1" w:styleId="Style9">
    <w:name w:val="Style9"/>
    <w:basedOn w:val="a0"/>
    <w:rsid w:val="00582D3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582D3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582D3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582D3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582D3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582D32"/>
    <w:pPr>
      <w:spacing w:after="0" w:line="240" w:lineRule="auto"/>
    </w:pPr>
    <w:rPr>
      <w:rFonts w:ascii="Arial" w:eastAsia="Times New Roman" w:hAnsi="Arial" w:cs="Arial"/>
      <w:b/>
      <w:bCs/>
      <w:lang w:eastAsia="ru-RU"/>
    </w:rPr>
  </w:style>
  <w:style w:type="paragraph" w:customStyle="1" w:styleId="western">
    <w:name w:val="western"/>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582D32"/>
    <w:rPr>
      <w:sz w:val="24"/>
      <w:szCs w:val="24"/>
      <w:lang w:val="ru-RU" w:eastAsia="ru-RU"/>
    </w:rPr>
  </w:style>
  <w:style w:type="paragraph" w:customStyle="1" w:styleId="ConsTitle">
    <w:name w:val="ConsTitle"/>
    <w:rsid w:val="00582D32"/>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582D32"/>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82D32"/>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582D32"/>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582D32"/>
    <w:rPr>
      <w:rFonts w:ascii="Times New Roman" w:eastAsia="Times New Roman" w:hAnsi="Times New Roman" w:cs="Times New Roman"/>
      <w:b/>
      <w:bCs/>
      <w:sz w:val="20"/>
      <w:szCs w:val="20"/>
      <w:lang w:eastAsia="ru-RU"/>
    </w:rPr>
  </w:style>
  <w:style w:type="character" w:customStyle="1" w:styleId="FontStyle88">
    <w:name w:val="Font Style88"/>
    <w:rsid w:val="00582D32"/>
    <w:rPr>
      <w:rFonts w:ascii="Times New Roman" w:hAnsi="Times New Roman" w:cs="Times New Roman"/>
      <w:sz w:val="22"/>
      <w:szCs w:val="22"/>
    </w:rPr>
  </w:style>
  <w:style w:type="paragraph" w:customStyle="1" w:styleId="112">
    <w:name w:val="Знак11"/>
    <w:basedOn w:val="a0"/>
    <w:rsid w:val="00582D32"/>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582D32"/>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582D32"/>
    <w:rPr>
      <w:color w:val="800080"/>
      <w:u w:val="single"/>
    </w:rPr>
  </w:style>
  <w:style w:type="paragraph" w:customStyle="1" w:styleId="18">
    <w:name w:val="Знак1 Знак Знак Знак Знак Знак Знак Знак Знак Знак Знак Знак Знак"/>
    <w:basedOn w:val="a0"/>
    <w:rsid w:val="00582D3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582D32"/>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582D32"/>
  </w:style>
  <w:style w:type="paragraph" w:customStyle="1" w:styleId="210">
    <w:name w:val="Знак Знак Знак2 Знак Знак Знак Знак Знак Знак Знак1"/>
    <w:basedOn w:val="a0"/>
    <w:rsid w:val="00582D32"/>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582D3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582D32"/>
    <w:rPr>
      <w:rFonts w:ascii="Tahoma" w:eastAsia="Times New Roman" w:hAnsi="Tahoma" w:cs="Tahoma"/>
      <w:b/>
      <w:bCs/>
      <w:sz w:val="16"/>
      <w:szCs w:val="16"/>
      <w:lang w:eastAsia="ru-RU"/>
    </w:rPr>
  </w:style>
  <w:style w:type="character" w:customStyle="1" w:styleId="2c">
    <w:name w:val="Знак Знак Знак Знак Знак Знак Знак2"/>
    <w:rsid w:val="00582D32"/>
    <w:rPr>
      <w:rFonts w:ascii="Arial" w:hAnsi="Arial" w:cs="Arial"/>
      <w:sz w:val="24"/>
      <w:szCs w:val="24"/>
      <w:lang w:val="ru-RU" w:eastAsia="ru-RU" w:bidi="ar-SA"/>
    </w:rPr>
  </w:style>
  <w:style w:type="character" w:customStyle="1" w:styleId="92">
    <w:name w:val="Знак Знак9"/>
    <w:semiHidden/>
    <w:rsid w:val="00582D32"/>
    <w:rPr>
      <w:rFonts w:ascii="Arial" w:hAnsi="Arial" w:cs="Arial"/>
      <w:lang w:val="ru-RU" w:eastAsia="ru-RU" w:bidi="ar-SA"/>
    </w:rPr>
  </w:style>
  <w:style w:type="numbering" w:customStyle="1" w:styleId="42">
    <w:name w:val="Нет списка4"/>
    <w:next w:val="a3"/>
    <w:uiPriority w:val="99"/>
    <w:semiHidden/>
    <w:unhideWhenUsed/>
    <w:rsid w:val="00582D32"/>
  </w:style>
  <w:style w:type="character" w:styleId="aff7">
    <w:name w:val="annotation reference"/>
    <w:semiHidden/>
    <w:unhideWhenUsed/>
    <w:rsid w:val="00582D32"/>
    <w:rPr>
      <w:sz w:val="16"/>
      <w:szCs w:val="16"/>
    </w:rPr>
  </w:style>
  <w:style w:type="paragraph" w:styleId="aff8">
    <w:name w:val="annotation subject"/>
    <w:basedOn w:val="aff"/>
    <w:next w:val="aff"/>
    <w:link w:val="aff9"/>
    <w:uiPriority w:val="99"/>
    <w:semiHidden/>
    <w:unhideWhenUsed/>
    <w:rsid w:val="00582D32"/>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582D32"/>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582D3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82D3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582D3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582D3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582D3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582D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582D32"/>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582D32"/>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582D3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582D3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582D32"/>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582D32"/>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582D3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582D3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582D3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582D3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582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582D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582D3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582D3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582D3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582D3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582D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582D3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582D3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582D3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582D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582D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582D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582D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582D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582D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582D3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582D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582D3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582D3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582D3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582D3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582D3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582D32"/>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582D3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582D3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582D3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582D3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582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582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582D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582D3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582D3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582D32"/>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582D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582D32"/>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582D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582D3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582D3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582D3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582D3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582D3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582D3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582D3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582D3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582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582D3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582D3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582D3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582D3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582D3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582D3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582D3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582D3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582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582D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582D3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582D3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582D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582D3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582D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582D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582D3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582D3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582D3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582D3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582D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582D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582D3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582D3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582D32"/>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582D32"/>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582D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582D3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582D3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582D3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582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582D3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582D3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582D3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582D3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582D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582D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582D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582D3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582D32"/>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582D3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582D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582D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582D3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582D3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582D3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582D3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582D3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582D3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582D3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582D3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582D3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582D3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582D32"/>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582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582D3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582D3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582D3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582D32"/>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582D3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582D32"/>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582D3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582D3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582D3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582D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582D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582D3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582D3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582D3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582D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582D3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582D3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582D3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582D32"/>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582D3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582D3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582D3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582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582D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582D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582D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582D3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582D3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582D3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582D3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582D3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582D3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582D3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582D3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582D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582D3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582D3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582D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582D3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582D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582D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582D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582D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582D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582D3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582D3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582D32"/>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582D3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582D3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582D3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582D32"/>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582D3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582D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582D32"/>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582D3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582D32"/>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582D32"/>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582D32"/>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582D3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582D3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582D3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582D3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582D3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582D3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582D3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582D3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582D3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582D3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582D3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582D3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582D32"/>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582D3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582D32"/>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582D3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582D32"/>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582D3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582D3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582D3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582D3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582D3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582D3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582D32"/>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582D3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582D3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582D3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582D3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582D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582D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582D3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582D3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582D3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582D3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582D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582D3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582D3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582D3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582D3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582D3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582D3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582D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582D3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582D32"/>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582D3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582D3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582D3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582D3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582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582D3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582D3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582D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582D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582D3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582D3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582D3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582D3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582D3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582D3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582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582D3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582D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582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582D3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582D3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582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582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582D3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582D3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582D3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582D3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582D32"/>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582D3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582D3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582D3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582D3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582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582D3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582D3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582D3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582D3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582D3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582D3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582D3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582D3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582D3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582D3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582D32"/>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582D3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582D32"/>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582D3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582D32"/>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582D32"/>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582D3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582D32"/>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582D3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582D32"/>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582D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582D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582D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582D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582D3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82D3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582D32"/>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582D32"/>
    <w:rPr>
      <w:rFonts w:ascii="Courier New" w:eastAsia="Times New Roman" w:hAnsi="Courier New" w:cs="Courier New"/>
      <w:lang w:eastAsia="ru-RU"/>
    </w:rPr>
  </w:style>
  <w:style w:type="paragraph" w:styleId="affa">
    <w:name w:val="List"/>
    <w:basedOn w:val="a0"/>
    <w:uiPriority w:val="99"/>
    <w:semiHidden/>
    <w:unhideWhenUsed/>
    <w:rsid w:val="00582D32"/>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582D3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582D32"/>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582D32"/>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582D32"/>
    <w:rPr>
      <w:rFonts w:ascii="Times New Roman" w:eastAsia="Times New Roman" w:hAnsi="Times New Roman" w:cs="Times New Roman"/>
      <w:b/>
      <w:bCs/>
      <w:sz w:val="24"/>
      <w:szCs w:val="24"/>
      <w:lang w:val="x-none" w:eastAsia="x-none"/>
    </w:rPr>
  </w:style>
  <w:style w:type="character" w:customStyle="1" w:styleId="blk">
    <w:name w:val="blk"/>
    <w:rsid w:val="00582D32"/>
  </w:style>
  <w:style w:type="paragraph" w:customStyle="1" w:styleId="101">
    <w:name w:val="Табличный_слева_10"/>
    <w:basedOn w:val="a0"/>
    <w:uiPriority w:val="99"/>
    <w:qFormat/>
    <w:rsid w:val="00582D32"/>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582D32"/>
    <w:rPr>
      <w:b/>
      <w:bCs/>
      <w:i/>
      <w:iCs/>
      <w:color w:val="5A5A5A"/>
    </w:rPr>
  </w:style>
  <w:style w:type="paragraph" w:customStyle="1" w:styleId="afff">
    <w:name w:val="_абзац"/>
    <w:basedOn w:val="a0"/>
    <w:link w:val="afff0"/>
    <w:qFormat/>
    <w:rsid w:val="00582D32"/>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582D32"/>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582D32"/>
  </w:style>
  <w:style w:type="paragraph" w:styleId="19">
    <w:name w:val="toc 1"/>
    <w:basedOn w:val="a0"/>
    <w:next w:val="a0"/>
    <w:autoRedefine/>
    <w:rsid w:val="00582D32"/>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582D32"/>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582D32"/>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582D3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582D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582D32"/>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582D32"/>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582D32"/>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582D3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582D3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582D32"/>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582D32"/>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582D32"/>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582D3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582D32"/>
    <w:pPr>
      <w:numPr>
        <w:numId w:val="8"/>
      </w:numPr>
    </w:pPr>
  </w:style>
  <w:style w:type="character" w:customStyle="1" w:styleId="afff4">
    <w:name w:val="Основной текст + Полужирный"/>
    <w:basedOn w:val="afff1"/>
    <w:rsid w:val="00582D3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582D3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582D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582D32"/>
  </w:style>
  <w:style w:type="table" w:customStyle="1" w:styleId="3a">
    <w:name w:val="Сетка таблицы3"/>
    <w:basedOn w:val="a2"/>
    <w:next w:val="af"/>
    <w:uiPriority w:val="39"/>
    <w:rsid w:val="00582D3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582D32"/>
  </w:style>
  <w:style w:type="numbering" w:customStyle="1" w:styleId="72">
    <w:name w:val="Нет списка7"/>
    <w:next w:val="a3"/>
    <w:uiPriority w:val="99"/>
    <w:semiHidden/>
    <w:unhideWhenUsed/>
    <w:rsid w:val="00582D32"/>
  </w:style>
  <w:style w:type="table" w:customStyle="1" w:styleId="44">
    <w:name w:val="Сетка таблицы4"/>
    <w:basedOn w:val="a2"/>
    <w:next w:val="af"/>
    <w:uiPriority w:val="39"/>
    <w:rsid w:val="00582D3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582D32"/>
  </w:style>
  <w:style w:type="numbering" w:customStyle="1" w:styleId="82">
    <w:name w:val="Нет списка8"/>
    <w:next w:val="a3"/>
    <w:uiPriority w:val="99"/>
    <w:semiHidden/>
    <w:unhideWhenUsed/>
    <w:rsid w:val="00582D32"/>
  </w:style>
  <w:style w:type="numbering" w:customStyle="1" w:styleId="3b">
    <w:name w:val="Статья / Раздел3"/>
    <w:basedOn w:val="a3"/>
    <w:next w:val="a"/>
    <w:rsid w:val="00582D32"/>
  </w:style>
  <w:style w:type="character" w:styleId="afff5">
    <w:name w:val="Placeholder Text"/>
    <w:basedOn w:val="a1"/>
    <w:uiPriority w:val="99"/>
    <w:semiHidden/>
    <w:rsid w:val="00582D32"/>
    <w:rPr>
      <w:color w:val="808080"/>
    </w:rPr>
  </w:style>
  <w:style w:type="numbering" w:customStyle="1" w:styleId="93">
    <w:name w:val="Нет списка9"/>
    <w:next w:val="a3"/>
    <w:uiPriority w:val="99"/>
    <w:semiHidden/>
    <w:unhideWhenUsed/>
    <w:rsid w:val="00582D32"/>
  </w:style>
  <w:style w:type="numbering" w:customStyle="1" w:styleId="45">
    <w:name w:val="Статья / Раздел4"/>
    <w:basedOn w:val="a3"/>
    <w:next w:val="a"/>
    <w:rsid w:val="00582D32"/>
  </w:style>
  <w:style w:type="numbering" w:customStyle="1" w:styleId="102">
    <w:name w:val="Нет списка10"/>
    <w:next w:val="a3"/>
    <w:uiPriority w:val="99"/>
    <w:semiHidden/>
    <w:unhideWhenUsed/>
    <w:rsid w:val="00582D32"/>
  </w:style>
  <w:style w:type="numbering" w:customStyle="1" w:styleId="54">
    <w:name w:val="Статья / Раздел5"/>
    <w:basedOn w:val="a3"/>
    <w:next w:val="a"/>
    <w:rsid w:val="00582D32"/>
  </w:style>
  <w:style w:type="numbering" w:customStyle="1" w:styleId="121">
    <w:name w:val="Нет списка12"/>
    <w:next w:val="a3"/>
    <w:uiPriority w:val="99"/>
    <w:semiHidden/>
    <w:unhideWhenUsed/>
    <w:rsid w:val="00582D32"/>
  </w:style>
  <w:style w:type="numbering" w:customStyle="1" w:styleId="63">
    <w:name w:val="Статья / Раздел6"/>
    <w:basedOn w:val="a3"/>
    <w:next w:val="a"/>
    <w:rsid w:val="00582D32"/>
  </w:style>
  <w:style w:type="numbering" w:customStyle="1" w:styleId="130">
    <w:name w:val="Нет списка13"/>
    <w:next w:val="a3"/>
    <w:uiPriority w:val="99"/>
    <w:semiHidden/>
    <w:unhideWhenUsed/>
    <w:rsid w:val="00582D32"/>
  </w:style>
  <w:style w:type="numbering" w:customStyle="1" w:styleId="73">
    <w:name w:val="Статья / Раздел7"/>
    <w:basedOn w:val="a3"/>
    <w:next w:val="a"/>
    <w:rsid w:val="00582D32"/>
  </w:style>
  <w:style w:type="numbering" w:customStyle="1" w:styleId="140">
    <w:name w:val="Нет списка14"/>
    <w:next w:val="a3"/>
    <w:uiPriority w:val="99"/>
    <w:semiHidden/>
    <w:unhideWhenUsed/>
    <w:rsid w:val="00582D32"/>
  </w:style>
  <w:style w:type="table" w:customStyle="1" w:styleId="55">
    <w:name w:val="Сетка таблицы5"/>
    <w:basedOn w:val="a2"/>
    <w:next w:val="af"/>
    <w:uiPriority w:val="39"/>
    <w:rsid w:val="00582D3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582D32"/>
  </w:style>
  <w:style w:type="numbering" w:customStyle="1" w:styleId="150">
    <w:name w:val="Нет списка15"/>
    <w:next w:val="a3"/>
    <w:uiPriority w:val="99"/>
    <w:semiHidden/>
    <w:unhideWhenUsed/>
    <w:rsid w:val="00582D32"/>
  </w:style>
  <w:style w:type="numbering" w:customStyle="1" w:styleId="94">
    <w:name w:val="Статья / Раздел9"/>
    <w:basedOn w:val="a3"/>
    <w:next w:val="a"/>
    <w:rsid w:val="00582D32"/>
  </w:style>
  <w:style w:type="numbering" w:customStyle="1" w:styleId="160">
    <w:name w:val="Нет списка16"/>
    <w:next w:val="a3"/>
    <w:uiPriority w:val="99"/>
    <w:semiHidden/>
    <w:unhideWhenUsed/>
    <w:rsid w:val="00582D32"/>
  </w:style>
  <w:style w:type="numbering" w:customStyle="1" w:styleId="103">
    <w:name w:val="Статья / Раздел10"/>
    <w:basedOn w:val="a3"/>
    <w:next w:val="a"/>
    <w:rsid w:val="00582D32"/>
  </w:style>
  <w:style w:type="numbering" w:customStyle="1" w:styleId="170">
    <w:name w:val="Нет списка17"/>
    <w:next w:val="a3"/>
    <w:uiPriority w:val="99"/>
    <w:semiHidden/>
    <w:unhideWhenUsed/>
    <w:rsid w:val="00582D32"/>
  </w:style>
  <w:style w:type="numbering" w:customStyle="1" w:styleId="115">
    <w:name w:val="Статья / Раздел11"/>
    <w:basedOn w:val="a3"/>
    <w:next w:val="a"/>
    <w:rsid w:val="00582D32"/>
  </w:style>
  <w:style w:type="numbering" w:customStyle="1" w:styleId="180">
    <w:name w:val="Нет списка18"/>
    <w:next w:val="a3"/>
    <w:uiPriority w:val="99"/>
    <w:semiHidden/>
    <w:unhideWhenUsed/>
    <w:rsid w:val="00582D32"/>
  </w:style>
  <w:style w:type="numbering" w:customStyle="1" w:styleId="122">
    <w:name w:val="Статья / Раздел12"/>
    <w:basedOn w:val="a3"/>
    <w:next w:val="a"/>
    <w:rsid w:val="00582D32"/>
  </w:style>
  <w:style w:type="numbering" w:customStyle="1" w:styleId="190">
    <w:name w:val="Нет списка19"/>
    <w:next w:val="a3"/>
    <w:uiPriority w:val="99"/>
    <w:semiHidden/>
    <w:unhideWhenUsed/>
    <w:rsid w:val="00582D32"/>
  </w:style>
  <w:style w:type="numbering" w:customStyle="1" w:styleId="131">
    <w:name w:val="Статья / Раздел13"/>
    <w:basedOn w:val="a3"/>
    <w:next w:val="a"/>
    <w:rsid w:val="00582D32"/>
  </w:style>
  <w:style w:type="numbering" w:customStyle="1" w:styleId="201">
    <w:name w:val="Нет списка20"/>
    <w:next w:val="a3"/>
    <w:uiPriority w:val="99"/>
    <w:semiHidden/>
    <w:unhideWhenUsed/>
    <w:rsid w:val="00582D32"/>
  </w:style>
  <w:style w:type="numbering" w:customStyle="1" w:styleId="141">
    <w:name w:val="Статья / Раздел14"/>
    <w:basedOn w:val="a3"/>
    <w:next w:val="a"/>
    <w:rsid w:val="00582D32"/>
  </w:style>
  <w:style w:type="numbering" w:customStyle="1" w:styleId="211">
    <w:name w:val="Нет списка21"/>
    <w:next w:val="a3"/>
    <w:uiPriority w:val="99"/>
    <w:semiHidden/>
    <w:unhideWhenUsed/>
    <w:rsid w:val="00582D32"/>
  </w:style>
  <w:style w:type="numbering" w:customStyle="1" w:styleId="151">
    <w:name w:val="Статья / Раздел15"/>
    <w:basedOn w:val="a3"/>
    <w:next w:val="a"/>
    <w:rsid w:val="00582D32"/>
  </w:style>
  <w:style w:type="numbering" w:customStyle="1" w:styleId="221">
    <w:name w:val="Нет списка22"/>
    <w:next w:val="a3"/>
    <w:uiPriority w:val="99"/>
    <w:semiHidden/>
    <w:unhideWhenUsed/>
    <w:rsid w:val="00582D32"/>
  </w:style>
  <w:style w:type="paragraph" w:customStyle="1" w:styleId="msonormal0">
    <w:name w:val="msonormal"/>
    <w:basedOn w:val="a0"/>
    <w:rsid w:val="00582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582D3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582D32"/>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582D3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582D32"/>
  </w:style>
  <w:style w:type="numbering" w:customStyle="1" w:styleId="230">
    <w:name w:val="Нет списка23"/>
    <w:next w:val="a3"/>
    <w:uiPriority w:val="99"/>
    <w:semiHidden/>
    <w:unhideWhenUsed/>
    <w:rsid w:val="00582D32"/>
  </w:style>
  <w:style w:type="numbering" w:customStyle="1" w:styleId="171">
    <w:name w:val="Статья / Раздел17"/>
    <w:basedOn w:val="a3"/>
    <w:next w:val="a"/>
    <w:rsid w:val="00582D32"/>
  </w:style>
  <w:style w:type="numbering" w:customStyle="1" w:styleId="240">
    <w:name w:val="Нет списка24"/>
    <w:next w:val="a3"/>
    <w:uiPriority w:val="99"/>
    <w:semiHidden/>
    <w:unhideWhenUsed/>
    <w:rsid w:val="00582D32"/>
  </w:style>
  <w:style w:type="table" w:customStyle="1" w:styleId="74">
    <w:name w:val="Сетка таблицы7"/>
    <w:basedOn w:val="a2"/>
    <w:next w:val="af"/>
    <w:uiPriority w:val="39"/>
    <w:rsid w:val="00582D3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582D32"/>
  </w:style>
  <w:style w:type="numbering" w:customStyle="1" w:styleId="250">
    <w:name w:val="Нет списка25"/>
    <w:next w:val="a3"/>
    <w:uiPriority w:val="99"/>
    <w:semiHidden/>
    <w:unhideWhenUsed/>
    <w:rsid w:val="00582D32"/>
  </w:style>
  <w:style w:type="table" w:customStyle="1" w:styleId="84">
    <w:name w:val="Сетка таблицы8"/>
    <w:basedOn w:val="a2"/>
    <w:next w:val="af"/>
    <w:uiPriority w:val="39"/>
    <w:rsid w:val="00582D3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582D32"/>
  </w:style>
  <w:style w:type="numbering" w:customStyle="1" w:styleId="260">
    <w:name w:val="Нет списка26"/>
    <w:next w:val="a3"/>
    <w:uiPriority w:val="99"/>
    <w:semiHidden/>
    <w:unhideWhenUsed/>
    <w:rsid w:val="00582D32"/>
  </w:style>
  <w:style w:type="table" w:customStyle="1" w:styleId="95">
    <w:name w:val="Сетка таблицы9"/>
    <w:basedOn w:val="a2"/>
    <w:next w:val="af"/>
    <w:uiPriority w:val="39"/>
    <w:rsid w:val="00582D3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582D32"/>
    <w:pPr>
      <w:numPr>
        <w:numId w:val="1"/>
      </w:numPr>
    </w:pPr>
  </w:style>
  <w:style w:type="numbering" w:customStyle="1" w:styleId="270">
    <w:name w:val="Нет списка27"/>
    <w:next w:val="a3"/>
    <w:uiPriority w:val="99"/>
    <w:semiHidden/>
    <w:unhideWhenUsed/>
    <w:rsid w:val="00582D32"/>
  </w:style>
  <w:style w:type="table" w:customStyle="1" w:styleId="105">
    <w:name w:val="Сетка таблицы10"/>
    <w:basedOn w:val="a2"/>
    <w:next w:val="af"/>
    <w:uiPriority w:val="39"/>
    <w:rsid w:val="00582D3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582D32"/>
  </w:style>
  <w:style w:type="numbering" w:customStyle="1" w:styleId="280">
    <w:name w:val="Нет списка28"/>
    <w:next w:val="a3"/>
    <w:semiHidden/>
    <w:unhideWhenUsed/>
    <w:rsid w:val="00582D32"/>
  </w:style>
  <w:style w:type="paragraph" w:customStyle="1" w:styleId="1c">
    <w:name w:val="Абзац списка1"/>
    <w:basedOn w:val="a0"/>
    <w:rsid w:val="00582D32"/>
    <w:pPr>
      <w:ind w:left="720"/>
    </w:pPr>
    <w:rPr>
      <w:rFonts w:ascii="Calibri" w:eastAsia="Calibri" w:hAnsi="Calibri" w:cs="Times New Roman"/>
      <w:lang w:eastAsia="ru-RU"/>
    </w:rPr>
  </w:style>
  <w:style w:type="table" w:customStyle="1" w:styleId="123">
    <w:name w:val="Сетка таблицы12"/>
    <w:basedOn w:val="a2"/>
    <w:next w:val="af"/>
    <w:rsid w:val="00582D32"/>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582D32"/>
  </w:style>
  <w:style w:type="numbering" w:customStyle="1" w:styleId="290">
    <w:name w:val="Нет списка29"/>
    <w:next w:val="a3"/>
    <w:uiPriority w:val="99"/>
    <w:semiHidden/>
    <w:unhideWhenUsed/>
    <w:rsid w:val="00582D32"/>
  </w:style>
  <w:style w:type="numbering" w:customStyle="1" w:styleId="22">
    <w:name w:val="Статья / Раздел22"/>
    <w:basedOn w:val="a3"/>
    <w:next w:val="a"/>
    <w:rsid w:val="00582D3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5374">
      <w:bodyDiv w:val="1"/>
      <w:marLeft w:val="0"/>
      <w:marRight w:val="0"/>
      <w:marTop w:val="0"/>
      <w:marBottom w:val="0"/>
      <w:divBdr>
        <w:top w:val="none" w:sz="0" w:space="0" w:color="auto"/>
        <w:left w:val="none" w:sz="0" w:space="0" w:color="auto"/>
        <w:bottom w:val="none" w:sz="0" w:space="0" w:color="auto"/>
        <w:right w:val="none" w:sz="0" w:space="0" w:color="auto"/>
      </w:divBdr>
    </w:div>
    <w:div w:id="15029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10643</Words>
  <Characters>60669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2021-02-24T14:22:00Z</dcterms:created>
  <dcterms:modified xsi:type="dcterms:W3CDTF">2022-06-08T09:49:00Z</dcterms:modified>
</cp:coreProperties>
</file>