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after="0" w:afterAutospacing="0" w:line="240" w:lineRule="auto"/>
        <w:rPr>
          <w:rFonts w:ascii="Tinos" w:hAnsi="Tinos" w:eastAsia="Tinos" w:cs="Tinos"/>
          <w:b/>
          <w:bCs/>
          <w:sz w:val="36"/>
          <w:szCs w:val="36"/>
          <w:highlight w:val="none"/>
        </w:rPr>
      </w:pPr>
      <w:r>
        <w:rPr>
          <w:rFonts w:ascii="Tinos" w:hAnsi="Tinos" w:eastAsia="Tinos" w:cs="Tinos"/>
          <w:b/>
          <w:bCs/>
          <w:sz w:val="36"/>
          <w:szCs w:val="36"/>
        </w:rPr>
        <w:t xml:space="preserve">ОКОНЧАТЕЛЬНЫЙ СПИСОК</w:t>
      </w:r>
      <w:r>
        <w:rPr>
          <w:rFonts w:ascii="Tinos" w:hAnsi="Tinos" w:eastAsia="Tinos" w:cs="Tinos"/>
          <w:b/>
          <w:bCs/>
          <w:sz w:val="36"/>
          <w:szCs w:val="36"/>
          <w:highlight w:val="none"/>
        </w:rPr>
      </w:r>
      <w:r>
        <w:rPr>
          <w:rFonts w:ascii="Tinos" w:hAnsi="Tinos" w:eastAsia="Tinos" w:cs="Tinos"/>
          <w:b/>
          <w:bCs/>
          <w:sz w:val="36"/>
          <w:szCs w:val="36"/>
          <w:highlight w:val="none"/>
        </w:rPr>
      </w:r>
    </w:p>
    <w:p>
      <w:pPr>
        <w:contextualSpacing/>
        <w:jc w:val="center"/>
        <w:spacing w:after="0" w:afterAutospacing="0" w:line="240" w:lineRule="auto"/>
        <w:rPr>
          <w:rFonts w:ascii="Tinos" w:hAnsi="Tinos" w:eastAsia="Tinos" w:cs="Tinos"/>
          <w:b/>
          <w:bCs/>
          <w:sz w:val="36"/>
          <w:szCs w:val="36"/>
          <w:highlight w:val="none"/>
        </w:rPr>
      </w:pPr>
      <w:r>
        <w:rPr>
          <w:rFonts w:ascii="Tinos" w:hAnsi="Tinos" w:eastAsia="Tinos" w:cs="Tinos"/>
          <w:b/>
          <w:bCs/>
          <w:sz w:val="36"/>
          <w:szCs w:val="36"/>
        </w:rPr>
        <w:t xml:space="preserve">кандидатов </w:t>
      </w:r>
      <w:r>
        <w:rPr>
          <w:rFonts w:ascii="Tinos" w:hAnsi="Tinos" w:eastAsia="Tinos" w:cs="Tinos"/>
          <w:b/>
          <w:bCs/>
          <w:sz w:val="36"/>
          <w:szCs w:val="36"/>
        </w:rPr>
        <w:t xml:space="preserve">в члены Общественной палаты Белгородского муниципального округа</w:t>
      </w:r>
      <w:r>
        <w:rPr>
          <w:rFonts w:ascii="Tinos" w:hAnsi="Tinos" w:eastAsia="Tinos" w:cs="Tinos"/>
          <w:b/>
          <w:bCs/>
          <w:sz w:val="36"/>
          <w:szCs w:val="36"/>
          <w:highlight w:val="none"/>
        </w:rPr>
      </w:r>
      <w:r>
        <w:rPr>
          <w:rFonts w:ascii="Tinos" w:hAnsi="Tinos" w:eastAsia="Tinos" w:cs="Tinos"/>
          <w:b/>
          <w:bCs/>
          <w:sz w:val="36"/>
          <w:szCs w:val="36"/>
          <w:highlight w:val="none"/>
        </w:rPr>
      </w:r>
    </w:p>
    <w:p>
      <w:pPr>
        <w:contextualSpacing/>
        <w:jc w:val="left"/>
        <w:spacing w:after="0" w:afterAutospacing="0" w:line="240" w:lineRule="auto"/>
        <w:rPr>
          <w:rFonts w:ascii="Tinos" w:hAnsi="Tinos" w:eastAsia="Tinos" w:cs="Tinos"/>
          <w:b/>
          <w:bCs/>
          <w:sz w:val="36"/>
          <w:szCs w:val="36"/>
        </w:rPr>
      </w:pPr>
      <w:r>
        <w:rPr>
          <w:rFonts w:ascii="Tinos" w:hAnsi="Tinos" w:eastAsia="Tinos" w:cs="Tinos"/>
          <w:b/>
          <w:bCs/>
          <w:sz w:val="36"/>
          <w:szCs w:val="36"/>
          <w:highlight w:val="none"/>
        </w:rPr>
      </w:r>
      <w:r>
        <w:rPr>
          <w:rFonts w:ascii="Tinos" w:hAnsi="Tinos" w:eastAsia="Tinos" w:cs="Tinos"/>
          <w:b/>
          <w:bCs/>
          <w:sz w:val="36"/>
          <w:szCs w:val="36"/>
        </w:rPr>
      </w:r>
      <w:r>
        <w:rPr>
          <w:rFonts w:ascii="Tinos" w:hAnsi="Tinos" w:eastAsia="Tinos" w:cs="Tinos"/>
          <w:b/>
          <w:bCs/>
          <w:sz w:val="36"/>
          <w:szCs w:val="36"/>
        </w:rPr>
      </w:r>
    </w:p>
    <w:tbl>
      <w:tblPr>
        <w:tblStyle w:val="725"/>
        <w:tblW w:w="0" w:type="auto"/>
        <w:tblInd w:w="-74" w:type="dxa"/>
        <w:tblLayout w:type="fixed"/>
        <w:tblLook w:val="04A0" w:firstRow="1" w:lastRow="0" w:firstColumn="1" w:lastColumn="0" w:noHBand="0" w:noVBand="1"/>
      </w:tblPr>
      <w:tblGrid>
        <w:gridCol w:w="641"/>
        <w:gridCol w:w="5669"/>
        <w:gridCol w:w="836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№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  <w14:ligatures w14:val="none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п/п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ФИО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кандидата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Кем выдвинут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  <w14:ligatures w14:val="none"/>
              </w:rPr>
            </w:r>
          </w:p>
          <w:p>
            <w:pP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hd w:val="clear" w:color="ffffff" w:fill="ffffff"/>
              <w:rPr>
                <w:rFonts w:ascii="Tinos" w:hAnsi="Tinos" w:eastAsia="Tinos" w:cs="Tinos"/>
                <w:color w:val="000000"/>
                <w:sz w:val="26"/>
                <w:szCs w:val="2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  <w:highlight w:val="white"/>
              </w:rPr>
              <w:t xml:space="preserve">Черендина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  <w:highlight w:val="white"/>
              </w:rPr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  <w:highlight w:val="white"/>
              </w:rPr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  <w:highlight w:val="white"/>
              </w:rPr>
              <w:t xml:space="preserve">Людмила Васильевна</w:t>
            </w:r>
            <w:r>
              <w:rPr>
                <w:rFonts w:ascii="Tinos" w:hAnsi="Tinos" w:cs="Tinos"/>
                <w:sz w:val="26"/>
                <w:szCs w:val="26"/>
                <w:highlight w:val="white"/>
              </w:rPr>
            </w:r>
            <w:r>
              <w:rPr>
                <w:rFonts w:ascii="Tinos" w:hAnsi="Tinos" w:cs="Tinos"/>
                <w:sz w:val="26"/>
                <w:szCs w:val="26"/>
                <w:highlight w:val="white"/>
              </w:rPr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Самовыдвижение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2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  <w:highlight w:val="white"/>
              </w:rPr>
              <w:t xml:space="preserve">Безбенко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  <w:highlight w:val="white"/>
              </w:rPr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  <w:highlight w:val="white"/>
              </w:rPr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  <w:highlight w:val="white"/>
              </w:rPr>
              <w:t xml:space="preserve">Анна Александровна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white"/>
              </w:rPr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Самовыдвижение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>
          <w:trHeight w:val="169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3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Мальков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Сергей Владимирович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Всероссийская общественная организация ветеранов (пенсионеров) войны, труда, Вооруженных Сил и правоохранительных органов (местная организация)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>
          <w:trHeight w:val="154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4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Бекетов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Олег Владимирович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Всероссийская общественная организация ветеранов (пенсионеров) войны, труда, Вооруженных Сил и правоохранительных органов (местная организация)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5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Юркова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Наталья Сергеевн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а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МКУ «Благоустройство территории поселка Северный Белгородского муниципального округа Белгородской области»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6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Печерский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Евгений Иванович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Самовыдвижение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7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Старикова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Светлана Валентиновна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Самовыдвижение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8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Бутыркина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Людмила Сергеевна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Самовыдвижение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9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Китляр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Николай Борисович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Самовыдвижение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10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Сазонов Сергей Васильевич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Самовыдвижение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11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Коптева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Наталья Николаевна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Самовыдвижение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12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Фунникова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Елена Николаевна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Самовыдвижение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13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Бердникова Алла Викторовна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Самовыдвижение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14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Зубарева Марина Александровна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Самовыдвижение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15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Черткова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Мария Федотовна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Самовыдвижение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16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Картяева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Галина Петровна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Самовыдвижение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17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Ковалева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Татьяна Дмитриевна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Самовыдвижение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18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Ангелов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Юрий Петрович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Самовыдвижение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19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Рудычева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Елена Викторовна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Самовыдвижение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20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Катунина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Ольга Викторовна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Самовыдвижение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21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Авдеева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Диана Александровна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Самовыдвижение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22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Сологубовский Тимофей Иванович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Самовыдвижение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23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Иванов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Вадим Николаевич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Самовыдвижение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>
          <w:trHeight w:val="2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24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Мерещенко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Наталья Андреевна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Самовыдвижение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25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white"/>
              </w:rPr>
              <w:t xml:space="preserve">Наприенко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whit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whit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white"/>
              </w:rPr>
              <w:t xml:space="preserve">Елена Евгеньевна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Самовыдвижение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26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Мосина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Яна Вячеславовна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whit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whit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Самовыдвижение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27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Кольцова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Светлана Ивановна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Самовыдвижение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28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Новикова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Ольга Александровна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Самовыдвижение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29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Немыкин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Анатолий Дмитриевич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Самовыдвижение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30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Нерубленко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Екатерина Уткировна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Самовыдвижение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>
          <w:trHeight w:val="24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31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Перервенко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Елена Николаевна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Самовыдвижение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32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white"/>
              </w:rPr>
              <w:t xml:space="preserve">Боболович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whit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whit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white"/>
              </w:rPr>
              <w:t xml:space="preserve">Владислав Олегович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whit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whit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Самовыдвижение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33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whit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white"/>
              </w:rPr>
              <w:t xml:space="preserve">Щербинин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whit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whit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white"/>
              </w:rPr>
              <w:t xml:space="preserve">Александр Юрьевич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whit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whit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Самовыдвижение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34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Косенкова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Галина Васильевна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Самовыдвижение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35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Копысова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Валентина Александровна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Совет женщин Яснозоренской сельской территории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36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Козлов Артем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14:ligatures w14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14:ligatures w14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Юрьевич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14:ligatures w14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14:ligatures w14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14:ligatures w14:val="none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14:ligatures w14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14:ligatures w14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2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40" w:lineRule="auto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  <w:lang w:eastAsia="ru-RU"/>
              </w:rPr>
              <w:t xml:space="preserve">Белгородское региональное отделение общероссийской общественной организации инвалидов «Всероссийское общество глухих»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rPr>
          <w:rFonts w:ascii="Tinos" w:hAnsi="Tinos" w:eastAsia="Tinos" w:cs="Tinos"/>
          <w:b/>
          <w:bCs/>
          <w:sz w:val="32"/>
          <w:szCs w:val="32"/>
          <w:highlight w:val="none"/>
        </w:rPr>
      </w:pPr>
      <w:r>
        <w:rPr>
          <w:rFonts w:ascii="Tinos" w:hAnsi="Tinos" w:eastAsia="Tinos" w:cs="Tinos"/>
          <w:b/>
          <w:bCs/>
          <w:sz w:val="32"/>
          <w:szCs w:val="32"/>
          <w:highlight w:val="none"/>
        </w:rPr>
      </w:r>
      <w:r>
        <w:rPr>
          <w:rFonts w:ascii="Tinos" w:hAnsi="Tinos" w:eastAsia="Tinos" w:cs="Tinos"/>
          <w:b/>
          <w:bCs/>
          <w:sz w:val="32"/>
          <w:szCs w:val="32"/>
          <w:highlight w:val="none"/>
        </w:rPr>
      </w:r>
      <w:r>
        <w:rPr>
          <w:rFonts w:ascii="Tinos" w:hAnsi="Tinos" w:eastAsia="Tinos" w:cs="Tinos"/>
          <w:b/>
          <w:bCs/>
          <w:sz w:val="32"/>
          <w:szCs w:val="32"/>
          <w:highlight w:val="none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  <w:jc w:val="center"/>
      <w:rPr>
        <w:rFonts w:ascii="Tinos" w:hAnsi="Tinos" w:cs="Tinos"/>
      </w:rPr>
    </w:pPr>
    <w:fldSimple w:instr="PAGE \* MERGEFORMAT">
      <w:r>
        <w:rPr>
          <w:rFonts w:ascii="Tinos" w:hAnsi="Tinos" w:eastAsia="Tinos" w:cs="Tinos"/>
        </w:rPr>
        <w:t xml:space="preserve">1</w:t>
      </w:r>
    </w:fldSimple>
    <w:r>
      <w:rPr>
        <w:rFonts w:ascii="Tinos" w:hAnsi="Tinos" w:eastAsia="Tinos" w:cs="Tinos"/>
      </w:rPr>
    </w:r>
    <w:r>
      <w:rPr>
        <w:rFonts w:ascii="Tinos" w:hAnsi="Tinos" w:cs="Tinos"/>
      </w:rPr>
    </w:r>
    <w:r>
      <w:rPr>
        <w:rFonts w:ascii="Tinos" w:hAnsi="Tinos" w:cs="Tinos"/>
      </w:rPr>
    </w:r>
  </w:p>
  <w:p>
    <w:pPr>
      <w:pStyle w:val="71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  <w:jc w:val="right"/>
      <w:rPr>
        <w:rFonts w:ascii="Tinos" w:hAnsi="Tinos" w:cs="Tinos"/>
        <w:b/>
        <w:bCs/>
        <w:sz w:val="28"/>
        <w:szCs w:val="28"/>
      </w:rPr>
    </w:pPr>
    <w:r>
      <w:rPr>
        <w:rFonts w:ascii="Tinos" w:hAnsi="Tinos" w:eastAsia="Tinos" w:cs="Tinos"/>
        <w:b/>
        <w:bCs/>
        <w:sz w:val="28"/>
        <w:szCs w:val="28"/>
      </w:rPr>
      <w:t xml:space="preserve">2026 год</w:t>
    </w:r>
    <w:r>
      <w:rPr>
        <w:rFonts w:ascii="Tinos" w:hAnsi="Tinos" w:eastAsia="Tinos" w:cs="Tinos"/>
        <w:b/>
        <w:bCs/>
        <w:sz w:val="28"/>
        <w:szCs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>
    <w:name w:val="Heading 1"/>
    <w:basedOn w:val="869"/>
    <w:next w:val="869"/>
    <w:link w:val="6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4">
    <w:name w:val="Heading 1 Char"/>
    <w:link w:val="693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69"/>
    <w:next w:val="869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69"/>
    <w:next w:val="869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69"/>
    <w:next w:val="869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69"/>
    <w:next w:val="869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69"/>
    <w:next w:val="869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69"/>
    <w:next w:val="869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69"/>
    <w:next w:val="869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69"/>
    <w:next w:val="869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Title"/>
    <w:basedOn w:val="869"/>
    <w:next w:val="869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>
    <w:name w:val="Title Char"/>
    <w:link w:val="711"/>
    <w:uiPriority w:val="10"/>
    <w:rPr>
      <w:sz w:val="48"/>
      <w:szCs w:val="48"/>
    </w:rPr>
  </w:style>
  <w:style w:type="paragraph" w:styleId="713">
    <w:name w:val="Subtitle"/>
    <w:basedOn w:val="869"/>
    <w:next w:val="869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link w:val="713"/>
    <w:uiPriority w:val="11"/>
    <w:rPr>
      <w:sz w:val="24"/>
      <w:szCs w:val="24"/>
    </w:rPr>
  </w:style>
  <w:style w:type="paragraph" w:styleId="715">
    <w:name w:val="Quote"/>
    <w:basedOn w:val="869"/>
    <w:next w:val="869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9"/>
    <w:next w:val="869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paragraph" w:styleId="719">
    <w:name w:val="Header"/>
    <w:basedOn w:val="869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Header Char"/>
    <w:link w:val="719"/>
    <w:uiPriority w:val="99"/>
  </w:style>
  <w:style w:type="paragraph" w:styleId="721">
    <w:name w:val="Footer"/>
    <w:basedOn w:val="869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Footer Char"/>
    <w:link w:val="721"/>
    <w:uiPriority w:val="99"/>
  </w:style>
  <w:style w:type="paragraph" w:styleId="723">
    <w:name w:val="Caption"/>
    <w:basedOn w:val="869"/>
    <w:next w:val="869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721"/>
    <w:uiPriority w:val="99"/>
  </w:style>
  <w:style w:type="table" w:styleId="725">
    <w:name w:val="Table Grid"/>
    <w:basedOn w:val="8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5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6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7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8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9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0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2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3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4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5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6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7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9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0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1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2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3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4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qFormat/>
  </w:style>
  <w:style w:type="table" w:styleId="8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>
    <w:name w:val="No Spacing"/>
    <w:basedOn w:val="869"/>
    <w:uiPriority w:val="1"/>
    <w:qFormat/>
    <w:pPr>
      <w:spacing w:after="0" w:line="240" w:lineRule="auto"/>
    </w:pPr>
  </w:style>
  <w:style w:type="paragraph" w:styleId="873">
    <w:name w:val="List Paragraph"/>
    <w:basedOn w:val="869"/>
    <w:uiPriority w:val="34"/>
    <w:qFormat/>
    <w:pPr>
      <w:contextualSpacing/>
      <w:ind w:left="720"/>
    </w:pPr>
  </w:style>
  <w:style w:type="character" w:styleId="874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28</cp:revision>
  <dcterms:modified xsi:type="dcterms:W3CDTF">2026-03-26T07:20:13Z</dcterms:modified>
</cp:coreProperties>
</file>